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E568D" w14:textId="083EE6FB" w:rsidR="00E90E49" w:rsidRPr="00AB7D11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 xml:space="preserve">3GPP TSG-RAN </w:t>
      </w:r>
      <w:r w:rsidR="002540DC">
        <w:t>Meeting</w:t>
      </w:r>
      <w:r w:rsidRPr="00CE0424">
        <w:t>#</w:t>
      </w:r>
      <w:r w:rsidR="00413DEB">
        <w:t>9</w:t>
      </w:r>
      <w:r w:rsidR="00176C97">
        <w:t>3</w:t>
      </w:r>
      <w:r w:rsidR="00F20F5C">
        <w:t>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413DEB">
        <w:rPr>
          <w:sz w:val="32"/>
          <w:szCs w:val="32"/>
        </w:rPr>
        <w:t>P</w:t>
      </w:r>
      <w:r w:rsidR="00091557" w:rsidRPr="00CE0424">
        <w:rPr>
          <w:sz w:val="32"/>
          <w:szCs w:val="32"/>
        </w:rPr>
        <w:t>-</w:t>
      </w:r>
      <w:r w:rsidR="0063186F" w:rsidRPr="0063186F">
        <w:rPr>
          <w:sz w:val="32"/>
          <w:szCs w:val="32"/>
        </w:rPr>
        <w:t>212349</w:t>
      </w:r>
    </w:p>
    <w:p w14:paraId="12BB274F" w14:textId="674D2D43" w:rsidR="00E90E49" w:rsidRPr="00CE0424" w:rsidRDefault="00C268E6" w:rsidP="00311702">
      <w:pPr>
        <w:pStyle w:val="3GPPHeader"/>
      </w:pPr>
      <w:r>
        <w:t xml:space="preserve">Electronic </w:t>
      </w:r>
      <w:r w:rsidR="002540DC">
        <w:t>M</w:t>
      </w:r>
      <w:r>
        <w:t xml:space="preserve">eeting, </w:t>
      </w:r>
      <w:r w:rsidR="00176C97">
        <w:t xml:space="preserve">September </w:t>
      </w:r>
      <w:r w:rsidR="00413DEB">
        <w:t>1</w:t>
      </w:r>
      <w:r w:rsidR="00176C97">
        <w:t>3</w:t>
      </w:r>
      <w:r w:rsidR="00F25B5B">
        <w:t xml:space="preserve"> – </w:t>
      </w:r>
      <w:r w:rsidR="00413DEB">
        <w:t>1</w:t>
      </w:r>
      <w:r w:rsidR="00176C97">
        <w:t>7</w:t>
      </w:r>
      <w:r>
        <w:t xml:space="preserve">, </w:t>
      </w:r>
      <w:r w:rsidR="002270E9" w:rsidRPr="002270E9">
        <w:t>2021</w:t>
      </w:r>
    </w:p>
    <w:p w14:paraId="30DFAB23" w14:textId="77777777" w:rsidR="00E90E49" w:rsidRPr="00CE0424" w:rsidRDefault="00E90E49" w:rsidP="00357380">
      <w:pPr>
        <w:pStyle w:val="3GPPHeader"/>
      </w:pPr>
    </w:p>
    <w:p w14:paraId="0FB5225A" w14:textId="71EA8C0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3186F">
        <w:rPr>
          <w:sz w:val="22"/>
          <w:szCs w:val="22"/>
        </w:rPr>
        <w:t>9.3.2.1</w:t>
      </w:r>
    </w:p>
    <w:p w14:paraId="32F398D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3BF24F" w14:textId="3A50771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6C97">
        <w:rPr>
          <w:sz w:val="22"/>
          <w:szCs w:val="22"/>
        </w:rPr>
        <w:t>Propagation Delay Compensation</w:t>
      </w:r>
      <w:r w:rsidR="00DD3C69">
        <w:rPr>
          <w:sz w:val="22"/>
          <w:szCs w:val="22"/>
        </w:rPr>
        <w:t xml:space="preserve"> </w:t>
      </w:r>
      <w:r w:rsidR="00176C97">
        <w:rPr>
          <w:sz w:val="22"/>
          <w:szCs w:val="22"/>
        </w:rPr>
        <w:t xml:space="preserve">for </w:t>
      </w:r>
      <w:r w:rsidR="00DD3C69">
        <w:rPr>
          <w:sz w:val="22"/>
          <w:szCs w:val="22"/>
        </w:rPr>
        <w:t>URLLC/IIoT</w:t>
      </w:r>
    </w:p>
    <w:p w14:paraId="1192B634" w14:textId="224E12B2" w:rsidR="00E90E49" w:rsidRPr="00866C1C" w:rsidRDefault="00E90E49" w:rsidP="00866C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D3C69">
        <w:rPr>
          <w:sz w:val="22"/>
          <w:szCs w:val="22"/>
        </w:rPr>
        <w:t>Discussion, Decision</w:t>
      </w:r>
    </w:p>
    <w:p w14:paraId="4464B4F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4FF0373" w14:textId="1492C9BA" w:rsidR="00640BF5" w:rsidRDefault="00B6263D" w:rsidP="00CE0424">
      <w:pPr>
        <w:pStyle w:val="BodyText"/>
      </w:pPr>
      <w:r>
        <w:t>For the IIoT/URLLC work item [</w:t>
      </w:r>
      <w:r w:rsidR="00667344">
        <w:t>1</w:t>
      </w:r>
      <w:r>
        <w:t xml:space="preserve">], one objective is </w:t>
      </w:r>
      <w:r w:rsidR="00640BF5">
        <w:t>to specify p</w:t>
      </w:r>
      <w:r w:rsidR="00640BF5" w:rsidRPr="00640BF5">
        <w:t>ropagation delay compensation enhancements for support of time synchronization</w:t>
      </w:r>
      <w:r w:rsidR="00640BF5">
        <w:t xml:space="preserve">. </w:t>
      </w:r>
    </w:p>
    <w:p w14:paraId="5D8EC992" w14:textId="5D6E3EAB" w:rsidR="00C25ACC" w:rsidRPr="00CE0424" w:rsidRDefault="002F0AE9" w:rsidP="002F0AE9">
      <w:pPr>
        <w:pStyle w:val="BodyText"/>
      </w:pPr>
      <w:r>
        <w:t xml:space="preserve">Since RAN1#102-e, </w:t>
      </w:r>
      <w:r w:rsidR="00640BF5">
        <w:t xml:space="preserve">RAN1 has been discussing two </w:t>
      </w:r>
      <w:r>
        <w:t xml:space="preserve">options for </w:t>
      </w:r>
      <w:r w:rsidRPr="002F0AE9">
        <w:t>propagation delay compensation</w:t>
      </w:r>
      <w:r>
        <w:t>: TA-based method and RTT-based method</w:t>
      </w:r>
      <w:r w:rsidR="00C25ACC">
        <w:t>.</w:t>
      </w:r>
      <w:r>
        <w:t xml:space="preserve"> </w:t>
      </w:r>
      <w:r w:rsidR="00C25ACC">
        <w:t xml:space="preserve"> </w:t>
      </w:r>
      <w:r>
        <w:t xml:space="preserve">However, so </w:t>
      </w:r>
      <w:proofErr w:type="gramStart"/>
      <w:r>
        <w:t>far</w:t>
      </w:r>
      <w:proofErr w:type="gramEnd"/>
      <w:r>
        <w:t xml:space="preserve"> no decision has been made to </w:t>
      </w:r>
      <w:r w:rsidR="006D5920">
        <w:t xml:space="preserve">specify </w:t>
      </w:r>
      <w:r>
        <w:t>a method for Rel-17.</w:t>
      </w:r>
      <w:r w:rsidR="008A788A">
        <w:t xml:space="preserve"> </w:t>
      </w:r>
      <w:r>
        <w:t xml:space="preserve">With only two RAN1 meetings remaining for the work item, </w:t>
      </w:r>
      <w:r w:rsidR="00C25ACC">
        <w:t xml:space="preserve">it is imperative that RAN plenary </w:t>
      </w:r>
      <w:r>
        <w:t xml:space="preserve">provides guidance on </w:t>
      </w:r>
      <w:r w:rsidR="008A788A">
        <w:t xml:space="preserve">the method selection, so that </w:t>
      </w:r>
      <w:r w:rsidR="006D5920">
        <w:t>the work item can be completed on time.</w:t>
      </w:r>
      <w:r w:rsidR="00C25ACC">
        <w:t xml:space="preserve"> </w:t>
      </w:r>
    </w:p>
    <w:p w14:paraId="1A9E64D2" w14:textId="65399EE8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82142D" w:rsidRPr="0082142D">
        <w:t>Propagation delay compensation enhancements</w:t>
      </w:r>
    </w:p>
    <w:p w14:paraId="17AF4A04" w14:textId="3362FF61" w:rsidR="00C740B0" w:rsidRDefault="00C740B0" w:rsidP="00C740B0">
      <w:pPr>
        <w:pStyle w:val="Heading2"/>
      </w:pPr>
      <w:r>
        <w:t>2.1</w:t>
      </w:r>
      <w:r>
        <w:tab/>
      </w:r>
      <w:r w:rsidR="0082142D">
        <w:t>Progress at RAN1/RAN2/RAN4</w:t>
      </w:r>
    </w:p>
    <w:p w14:paraId="6AF921DA" w14:textId="40ABBE46" w:rsidR="00E374A0" w:rsidRDefault="006D5920" w:rsidP="00211EE3">
      <w:pPr>
        <w:pStyle w:val="BodyText"/>
      </w:pPr>
      <w:r>
        <w:t>One goal of the IIoT/URLLC work item [1] is shown below, which involves RAN1/RAN2/RAN3</w:t>
      </w:r>
      <w:r w:rsidR="004E0837">
        <w:t>/RAN4.</w:t>
      </w:r>
    </w:p>
    <w:p w14:paraId="459C5A77" w14:textId="1A4754B5" w:rsidR="00640BF5" w:rsidRDefault="00640BF5" w:rsidP="00E37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640BF5" w14:paraId="6837E41A" w14:textId="77777777" w:rsidTr="00640BF5">
        <w:tc>
          <w:tcPr>
            <w:tcW w:w="9625" w:type="dxa"/>
          </w:tcPr>
          <w:p w14:paraId="3A4BA3A3" w14:textId="77777777" w:rsidR="00640BF5" w:rsidRDefault="00640BF5" w:rsidP="00640BF5">
            <w:pPr>
              <w:numPr>
                <w:ilvl w:val="0"/>
                <w:numId w:val="30"/>
              </w:numPr>
              <w:spacing w:after="0"/>
              <w:textAlignment w:val="auto"/>
              <w:rPr>
                <w:bCs/>
                <w:lang w:eastAsia="en-GB"/>
              </w:rPr>
            </w:pPr>
            <w:r>
              <w:rPr>
                <w:bCs/>
              </w:rPr>
              <w:t>Enhancements for support of time synchronization:</w:t>
            </w:r>
          </w:p>
          <w:p w14:paraId="02D17B6F" w14:textId="77777777" w:rsidR="00640BF5" w:rsidRDefault="00640BF5" w:rsidP="00640BF5">
            <w:pPr>
              <w:numPr>
                <w:ilvl w:val="0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12A53D93" w14:textId="48979C40" w:rsidR="00640BF5" w:rsidRPr="00640BF5" w:rsidRDefault="00640BF5" w:rsidP="00E374A0">
            <w:pPr>
              <w:numPr>
                <w:ilvl w:val="0"/>
                <w:numId w:val="31"/>
              </w:numPr>
              <w:ind w:left="1434" w:hanging="357"/>
              <w:textAlignment w:val="auto"/>
              <w:rPr>
                <w:bCs/>
              </w:rPr>
            </w:pPr>
            <w:r w:rsidRPr="004E0837">
              <w:rPr>
                <w:bCs/>
                <w:highlight w:val="yellow"/>
              </w:rPr>
              <w:t>Propagation delay compensation enhancements (including mobility issues, if any). [RAN2, RAN1, RAN3, RAN4]</w:t>
            </w:r>
          </w:p>
        </w:tc>
      </w:tr>
    </w:tbl>
    <w:p w14:paraId="58BF4C4A" w14:textId="6471C7A3" w:rsidR="00C740B0" w:rsidRDefault="00C740B0" w:rsidP="00E374A0"/>
    <w:p w14:paraId="32BA3ECA" w14:textId="5B68DAF3" w:rsidR="00A427C0" w:rsidRDefault="004E0837" w:rsidP="00211EE3">
      <w:pPr>
        <w:pStyle w:val="BodyText"/>
      </w:pPr>
      <w:r>
        <w:t>While RAN1 has made an agreement in RAN1#102e to consider two options for propagation delay compensation</w:t>
      </w:r>
      <w:r w:rsidR="003416A6">
        <w:t xml:space="preserve">. No decision has been made as far as which option to specify for Rel-17. </w:t>
      </w:r>
      <w:r w:rsidR="00055D7B">
        <w:t xml:space="preserve"> The latest agreements made at RAN1, RAN2, and RAN4 are shown in the Appendix.</w:t>
      </w:r>
    </w:p>
    <w:p w14:paraId="41F5CD21" w14:textId="70112BF3" w:rsidR="005920D3" w:rsidRDefault="003416A6" w:rsidP="00211EE3">
      <w:pPr>
        <w:pStyle w:val="BodyText"/>
      </w:pPr>
      <w:r>
        <w:t>For the TA-based method, an LS has been sent from RAN1 to RAN4</w:t>
      </w:r>
      <w:r w:rsidR="00211EE3">
        <w:t xml:space="preserve"> at the end of RAN1#106-e</w:t>
      </w:r>
      <w:r>
        <w:t xml:space="preserve">. However, no response can be expected from RAN4 at least after RAN4 November meeting. </w:t>
      </w:r>
      <w:proofErr w:type="gramStart"/>
      <w:r w:rsidR="005920D3">
        <w:t>Thus</w:t>
      </w:r>
      <w:proofErr w:type="gramEnd"/>
      <w:r w:rsidR="005920D3">
        <w:t xml:space="preserve"> for the remaining two RAN1 meetings, </w:t>
      </w:r>
      <w:r w:rsidR="00A427C0">
        <w:t xml:space="preserve">likely </w:t>
      </w:r>
      <w:r>
        <w:t>RAN1</w:t>
      </w:r>
      <w:r w:rsidR="005920D3">
        <w:t xml:space="preserve"> cannot have input from RAN4, and RAN1</w:t>
      </w:r>
      <w:r>
        <w:t xml:space="preserve"> has to complete the Work Item</w:t>
      </w:r>
      <w:r w:rsidR="005920D3">
        <w:t xml:space="preserve"> based on currently available information</w:t>
      </w:r>
      <w: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35"/>
      </w:tblGrid>
      <w:tr w:rsidR="003416A6" w14:paraId="1B7BA98E" w14:textId="77777777" w:rsidTr="00176AF0">
        <w:trPr>
          <w:jc w:val="center"/>
        </w:trPr>
        <w:tc>
          <w:tcPr>
            <w:tcW w:w="6835" w:type="dxa"/>
          </w:tcPr>
          <w:p w14:paraId="4D5C42C6" w14:textId="1B1B57BD" w:rsidR="003416A6" w:rsidRDefault="003416A6" w:rsidP="003416A6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RAN1 has 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meetings remaining in 2021:</w:t>
            </w:r>
          </w:p>
          <w:p w14:paraId="62AC8CEA" w14:textId="1D6EDD6E" w:rsidR="003416A6" w:rsidRDefault="003416A6" w:rsidP="003416A6">
            <w:pPr>
              <w:pStyle w:val="ListParagraph"/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>
              <w:rPr>
                <w:sz w:val="20"/>
                <w:szCs w:val="20"/>
              </w:rPr>
              <w:t>RAN1#106-bis-e</w:t>
            </w:r>
            <w:r>
              <w:rPr>
                <w:sz w:val="20"/>
                <w:szCs w:val="20"/>
                <w:lang w:val="en-US"/>
              </w:rPr>
              <w:t>, October 11-19</w:t>
            </w:r>
          </w:p>
          <w:p w14:paraId="10A6EA4B" w14:textId="12CC8741" w:rsidR="003416A6" w:rsidRDefault="003416A6" w:rsidP="003416A6">
            <w:pPr>
              <w:pStyle w:val="ListParagraph"/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</w:t>
            </w:r>
            <w:r>
              <w:rPr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RAN1#107-e</w:t>
            </w:r>
            <w:r>
              <w:rPr>
                <w:sz w:val="20"/>
                <w:szCs w:val="20"/>
                <w:lang w:val="en-US"/>
              </w:rPr>
              <w:t>, November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11-19</w:t>
            </w:r>
            <w:r>
              <w:rPr>
                <w:sz w:val="20"/>
                <w:szCs w:val="20"/>
              </w:rPr>
              <w:t xml:space="preserve"> </w:t>
            </w:r>
          </w:p>
          <w:p w14:paraId="19B3A393" w14:textId="23CF1031" w:rsidR="003416A6" w:rsidRDefault="003416A6" w:rsidP="003416A6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RAN4 has </w:t>
            </w:r>
            <w:r>
              <w:rPr>
                <w:sz w:val="20"/>
                <w:szCs w:val="20"/>
                <w:lang w:val="en-US"/>
              </w:rPr>
              <w:t>one</w:t>
            </w:r>
            <w:r>
              <w:rPr>
                <w:sz w:val="20"/>
                <w:szCs w:val="20"/>
              </w:rPr>
              <w:t xml:space="preserve"> meeting remaining in 2021:</w:t>
            </w:r>
          </w:p>
          <w:p w14:paraId="3EA0020E" w14:textId="2EB833C9" w:rsidR="003416A6" w:rsidRPr="00A427C0" w:rsidRDefault="003416A6" w:rsidP="00E374A0">
            <w:pPr>
              <w:pStyle w:val="ListParagraph"/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</w:t>
            </w:r>
            <w:r>
              <w:rPr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RAN4#101-e</w:t>
            </w:r>
            <w:r>
              <w:rPr>
                <w:sz w:val="20"/>
                <w:szCs w:val="20"/>
                <w:lang w:val="en-US"/>
              </w:rPr>
              <w:t>, November</w:t>
            </w:r>
            <w:r>
              <w:rPr>
                <w:sz w:val="20"/>
                <w:szCs w:val="20"/>
              </w:rPr>
              <w:t xml:space="preserve"> 01-12</w:t>
            </w:r>
          </w:p>
        </w:tc>
      </w:tr>
    </w:tbl>
    <w:p w14:paraId="70D29F07" w14:textId="5C4CA26B" w:rsidR="004E0837" w:rsidRDefault="004E0837" w:rsidP="00E374A0"/>
    <w:p w14:paraId="02FFBF30" w14:textId="25B06374" w:rsidR="005920D3" w:rsidRDefault="005920D3" w:rsidP="00211EE3">
      <w:pPr>
        <w:pStyle w:val="BodyText"/>
      </w:pPr>
      <w:r>
        <w:t xml:space="preserve">For the RTT-based method, RAN1 has made progress in RAN1#106-e [3]. </w:t>
      </w:r>
      <w:r w:rsidR="00211EE3">
        <w:t>However</w:t>
      </w:r>
      <w:r>
        <w:t xml:space="preserve">, </w:t>
      </w:r>
      <w:r w:rsidR="00211EE3">
        <w:t xml:space="preserve">all </w:t>
      </w:r>
      <w:r>
        <w:t>the</w:t>
      </w:r>
      <w:r w:rsidR="00211EE3">
        <w:t xml:space="preserve"> RTT-related</w:t>
      </w:r>
      <w:r>
        <w:t xml:space="preserve"> agreements are conditional, i.e., with phrase like “</w:t>
      </w:r>
      <w:r w:rsidRPr="00211EE3">
        <w:t>if RTT-based propagation delay compensation is supported</w:t>
      </w:r>
      <w:r>
        <w:t xml:space="preserve">”. </w:t>
      </w:r>
      <w:r>
        <w:lastRenderedPageBreak/>
        <w:t>This uncertainty</w:t>
      </w:r>
      <w:r w:rsidR="00A427C0">
        <w:t xml:space="preserve"> make</w:t>
      </w:r>
      <w:r w:rsidR="006A595E">
        <w:t>s</w:t>
      </w:r>
      <w:r w:rsidR="00A427C0">
        <w:t xml:space="preserve"> it difficult for RAN2 to proceed with their work. RAN2#115-e has the following agreement:</w:t>
      </w:r>
    </w:p>
    <w:p w14:paraId="60FE9970" w14:textId="77777777" w:rsidR="00A427C0" w:rsidRPr="008A788A" w:rsidRDefault="00A427C0" w:rsidP="00A427C0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textAlignment w:val="auto"/>
        <w:rPr>
          <w:lang w:val="en-GB"/>
        </w:rPr>
      </w:pPr>
      <w:r w:rsidRPr="005920D3">
        <w:rPr>
          <w:color w:val="FF0000"/>
          <w:lang w:val="en-GB"/>
        </w:rPr>
        <w:t>RAN2 shall wait for RAN1 to decide</w:t>
      </w:r>
      <w:r w:rsidRPr="008A788A">
        <w:rPr>
          <w:lang w:val="en-GB"/>
        </w:rPr>
        <w:t xml:space="preserve"> the measurement framework for RTT based PDC method and does not preclude UE-side PDC or gNB based pre-compensation at this point.  </w:t>
      </w:r>
      <w:r w:rsidRPr="005920D3">
        <w:rPr>
          <w:color w:val="FF0000"/>
          <w:lang w:val="en-GB"/>
        </w:rPr>
        <w:t>RAN2 is expecting guidance from RAN1 on what is needed. </w:t>
      </w:r>
      <w:r w:rsidRPr="008A788A">
        <w:rPr>
          <w:lang w:val="en-GB"/>
        </w:rPr>
        <w:t xml:space="preserve"> </w:t>
      </w:r>
    </w:p>
    <w:p w14:paraId="6965614F" w14:textId="77777777" w:rsidR="006A595E" w:rsidRDefault="006A595E" w:rsidP="006A595E">
      <w:pPr>
        <w:pStyle w:val="BodyText"/>
      </w:pPr>
    </w:p>
    <w:p w14:paraId="2D05F819" w14:textId="61340F8C" w:rsidR="006A595E" w:rsidRDefault="006A595E" w:rsidP="006A595E">
      <w:pPr>
        <w:pStyle w:val="BodyText"/>
      </w:pPr>
      <w:r>
        <w:t>Without clear resolution of the method selection, RAN2 has no choice but to wait.</w:t>
      </w:r>
    </w:p>
    <w:p w14:paraId="46B81F3C" w14:textId="7B023A1A" w:rsidR="00A427C0" w:rsidRDefault="00A427C0" w:rsidP="006A595E">
      <w:pPr>
        <w:pStyle w:val="BodyText"/>
      </w:pPr>
      <w:proofErr w:type="gramStart"/>
      <w:r>
        <w:t>Thus</w:t>
      </w:r>
      <w:proofErr w:type="gramEnd"/>
      <w:r>
        <w:t xml:space="preserve"> it is necessary that RAN plenary provide guidance </w:t>
      </w:r>
      <w:r w:rsidR="00055D7B">
        <w:t>on the methods for propagation delay compensation, so that</w:t>
      </w:r>
      <w:r>
        <w:t xml:space="preserve"> RAN1 and RAN2 </w:t>
      </w:r>
      <w:r w:rsidR="00055D7B">
        <w:t xml:space="preserve">can complete the </w:t>
      </w:r>
      <w:r>
        <w:t xml:space="preserve">work </w:t>
      </w:r>
      <w:r w:rsidR="00055D7B">
        <w:t>on time</w:t>
      </w:r>
      <w:r>
        <w:t>.</w:t>
      </w:r>
    </w:p>
    <w:p w14:paraId="498E7BF1" w14:textId="4E89E146" w:rsidR="00F63950" w:rsidRDefault="00230D18" w:rsidP="00F63950">
      <w:pPr>
        <w:pStyle w:val="Heading2"/>
      </w:pPr>
      <w:r>
        <w:t>2.1</w:t>
      </w:r>
      <w:r>
        <w:tab/>
      </w:r>
      <w:r w:rsidR="00C740B0">
        <w:t>Way forward</w:t>
      </w:r>
    </w:p>
    <w:p w14:paraId="444B5D9E" w14:textId="194BFEA9" w:rsidR="00AB7918" w:rsidRDefault="00AB7918" w:rsidP="006A595E">
      <w:pPr>
        <w:pStyle w:val="BodyText"/>
      </w:pPr>
      <w:r>
        <w:t xml:space="preserve">For the TA-based method, it is unknown if it is feasible to reduce the error components </w:t>
      </w:r>
      <w:proofErr w:type="spellStart"/>
      <w:r>
        <w:t>Te</w:t>
      </w:r>
      <w:proofErr w:type="spellEnd"/>
      <w:r>
        <w:t xml:space="preserve"> and </w:t>
      </w:r>
      <w:r w:rsidRPr="006A595E">
        <w:t xml:space="preserve">TA command indication granularity. </w:t>
      </w:r>
      <w:r>
        <w:t xml:space="preserve"> And if feasible, how much the error components can be reduced, and the conditions associated with the reduced error components.</w:t>
      </w:r>
      <w:r w:rsidR="00A412D2">
        <w:t xml:space="preserve"> </w:t>
      </w:r>
      <w:proofErr w:type="gramStart"/>
      <w:r w:rsidR="00A412D2">
        <w:t>Thus</w:t>
      </w:r>
      <w:proofErr w:type="gramEnd"/>
      <w:r w:rsidR="00A412D2">
        <w:t xml:space="preserve"> </w:t>
      </w:r>
      <w:r>
        <w:t>RAN1 cannot proceed without response LS from RAN4 on</w:t>
      </w:r>
      <w:r w:rsidR="0011250D">
        <w:t xml:space="preserve"> the two error components.</w:t>
      </w:r>
    </w:p>
    <w:p w14:paraId="4C9F0DD7" w14:textId="565163A7" w:rsidR="00543A71" w:rsidRPr="00CE0424" w:rsidRDefault="006C235D" w:rsidP="006C235D">
      <w:pPr>
        <w:pStyle w:val="Observation"/>
        <w:ind w:left="1710" w:hanging="1710"/>
      </w:pPr>
      <w:bookmarkStart w:id="1" w:name="_Toc347823812"/>
      <w:bookmarkStart w:id="2" w:name="_Toc347823993"/>
      <w:bookmarkStart w:id="3" w:name="_Toc347824244"/>
      <w:bookmarkStart w:id="4" w:name="_Toc81609310"/>
      <w:r>
        <w:t>No progress can be made for TA-based method in RAN1 before receiving RAN4 response LS</w:t>
      </w:r>
      <w:r w:rsidR="00543A71">
        <w:t>.</w:t>
      </w:r>
      <w:bookmarkEnd w:id="1"/>
      <w:bookmarkEnd w:id="2"/>
      <w:bookmarkEnd w:id="3"/>
      <w:bookmarkEnd w:id="4"/>
    </w:p>
    <w:p w14:paraId="7040A555" w14:textId="77777777" w:rsidR="004C3480" w:rsidRDefault="004C3480" w:rsidP="00543A71">
      <w:pPr>
        <w:pStyle w:val="BodyText"/>
      </w:pPr>
    </w:p>
    <w:p w14:paraId="2BD25C44" w14:textId="6BE6949D" w:rsidR="00FD1040" w:rsidRDefault="004C3480" w:rsidP="00543A71">
      <w:pPr>
        <w:pStyle w:val="BodyText"/>
      </w:pPr>
      <w:r>
        <w:t>In the meantime, RAN1 should focus on making progress on the RTT-based method. Evaluations by RAN1 companies</w:t>
      </w:r>
      <w:r w:rsidR="00260F53">
        <w:t xml:space="preserve"> [6][7][8][9]</w:t>
      </w:r>
      <w:r>
        <w:t xml:space="preserve"> have shown </w:t>
      </w:r>
      <w:r w:rsidR="00260F53">
        <w:t>that RTT-based can satisfy the tighter synchronization requirement of the control-to-control scenario</w:t>
      </w:r>
      <w:r w:rsidR="00765B1D">
        <w:t>.</w:t>
      </w:r>
      <w:r w:rsidR="00260F53">
        <w:t xml:space="preserve"> </w:t>
      </w:r>
      <w:r w:rsidR="00E335F4">
        <w:t xml:space="preserve">Exemplary evaluation results of the total synchronization error of the RTT-based method </w:t>
      </w:r>
      <w:proofErr w:type="gramStart"/>
      <w:r w:rsidR="00E335F4">
        <w:t>is</w:t>
      </w:r>
      <w:proofErr w:type="gramEnd"/>
      <w:r w:rsidR="00E335F4">
        <w:t xml:space="preserve"> shown in Table 1.</w:t>
      </w:r>
    </w:p>
    <w:p w14:paraId="1894CF5D" w14:textId="34CD08FA" w:rsidR="00260F53" w:rsidRDefault="00E335F4" w:rsidP="00E335F4">
      <w:pPr>
        <w:pStyle w:val="BodyText"/>
        <w:jc w:val="center"/>
      </w:pPr>
      <w:r w:rsidRPr="00FD1040">
        <w:rPr>
          <w:rFonts w:cs="Arial"/>
          <w:lang w:val="en-US"/>
        </w:rPr>
        <w:t xml:space="preserve">Table </w:t>
      </w:r>
      <w:r w:rsidRPr="00FD1040">
        <w:rPr>
          <w:rFonts w:cs="Arial"/>
          <w:lang w:val="en-US"/>
        </w:rPr>
        <w:fldChar w:fldCharType="begin"/>
      </w:r>
      <w:r w:rsidRPr="00FD1040">
        <w:rPr>
          <w:rFonts w:cs="Arial"/>
          <w:lang w:val="en-US"/>
        </w:rPr>
        <w:instrText xml:space="preserve"> SEQ Table \* ARABIC </w:instrText>
      </w:r>
      <w:r w:rsidRPr="00FD1040">
        <w:rPr>
          <w:rFonts w:cs="Arial"/>
          <w:lang w:val="en-US"/>
        </w:rPr>
        <w:fldChar w:fldCharType="separate"/>
      </w:r>
      <w:r>
        <w:rPr>
          <w:rFonts w:cs="Arial"/>
          <w:noProof/>
          <w:lang w:val="en-US"/>
        </w:rPr>
        <w:t>1</w:t>
      </w:r>
      <w:r w:rsidRPr="00FD1040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. Total synchronization error of RTT-based method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35"/>
        <w:gridCol w:w="2070"/>
        <w:gridCol w:w="2070"/>
      </w:tblGrid>
      <w:tr w:rsidR="00E335F4" w14:paraId="5B54C6CF" w14:textId="0A74152F" w:rsidTr="00E335F4">
        <w:trPr>
          <w:jc w:val="center"/>
        </w:trPr>
        <w:tc>
          <w:tcPr>
            <w:tcW w:w="4135" w:type="dxa"/>
          </w:tcPr>
          <w:p w14:paraId="5DAC9180" w14:textId="77777777" w:rsidR="00E335F4" w:rsidRDefault="00E335F4" w:rsidP="00543A71">
            <w:pPr>
              <w:pStyle w:val="BodyText"/>
            </w:pPr>
          </w:p>
        </w:tc>
        <w:tc>
          <w:tcPr>
            <w:tcW w:w="2070" w:type="dxa"/>
          </w:tcPr>
          <w:p w14:paraId="4056C1C7" w14:textId="58A9F412" w:rsidR="00E335F4" w:rsidRDefault="00E335F4" w:rsidP="00543A71">
            <w:pPr>
              <w:pStyle w:val="BodyText"/>
            </w:pPr>
            <w:r>
              <w:t>SCS = 15 kHz</w:t>
            </w:r>
          </w:p>
        </w:tc>
        <w:tc>
          <w:tcPr>
            <w:tcW w:w="2070" w:type="dxa"/>
          </w:tcPr>
          <w:p w14:paraId="225D65D9" w14:textId="097664FC" w:rsidR="00E335F4" w:rsidRDefault="00E335F4" w:rsidP="00543A71">
            <w:pPr>
              <w:pStyle w:val="BodyText"/>
            </w:pPr>
            <w:r>
              <w:t>SCS = 30 kHz</w:t>
            </w:r>
          </w:p>
        </w:tc>
      </w:tr>
      <w:tr w:rsidR="00E335F4" w14:paraId="54C002FA" w14:textId="66E79276" w:rsidTr="00E335F4">
        <w:trPr>
          <w:jc w:val="center"/>
        </w:trPr>
        <w:tc>
          <w:tcPr>
            <w:tcW w:w="4135" w:type="dxa"/>
          </w:tcPr>
          <w:p w14:paraId="5E5BD308" w14:textId="5C294515" w:rsidR="00E335F4" w:rsidRDefault="00E335F4" w:rsidP="00543A71">
            <w:pPr>
              <w:pStyle w:val="BodyText"/>
            </w:pPr>
            <w:r>
              <w:t>Huawei [</w:t>
            </w:r>
            <w:r w:rsidRPr="00260F53">
              <w:t>R1-2107678</w:t>
            </w:r>
            <w:r>
              <w:t>]</w:t>
            </w:r>
          </w:p>
        </w:tc>
        <w:tc>
          <w:tcPr>
            <w:tcW w:w="2070" w:type="dxa"/>
          </w:tcPr>
          <w:p w14:paraId="03BBBFF6" w14:textId="5738E19F" w:rsidR="00E335F4" w:rsidRDefault="00E335F4" w:rsidP="00543A71">
            <w:pPr>
              <w:pStyle w:val="BodyText"/>
            </w:pPr>
            <w:r>
              <w:t xml:space="preserve">245 ns </w:t>
            </w:r>
          </w:p>
        </w:tc>
        <w:tc>
          <w:tcPr>
            <w:tcW w:w="2070" w:type="dxa"/>
          </w:tcPr>
          <w:p w14:paraId="5CEA96C0" w14:textId="144B4286" w:rsidR="00E335F4" w:rsidRDefault="00E335F4" w:rsidP="00543A71">
            <w:pPr>
              <w:pStyle w:val="BodyText"/>
            </w:pPr>
            <w:r>
              <w:t>179 ns</w:t>
            </w:r>
          </w:p>
        </w:tc>
      </w:tr>
      <w:tr w:rsidR="00E335F4" w14:paraId="29AD07C8" w14:textId="02A76C17" w:rsidTr="00E335F4">
        <w:trPr>
          <w:jc w:val="center"/>
        </w:trPr>
        <w:tc>
          <w:tcPr>
            <w:tcW w:w="4135" w:type="dxa"/>
          </w:tcPr>
          <w:p w14:paraId="653F1D04" w14:textId="340345CD" w:rsidR="00E335F4" w:rsidRDefault="00E335F4" w:rsidP="00543A71">
            <w:pPr>
              <w:pStyle w:val="BodyText"/>
            </w:pPr>
            <w:r>
              <w:t>CATT [R1-2106966]</w:t>
            </w:r>
          </w:p>
        </w:tc>
        <w:tc>
          <w:tcPr>
            <w:tcW w:w="2070" w:type="dxa"/>
          </w:tcPr>
          <w:p w14:paraId="41490762" w14:textId="3C347996" w:rsidR="00E335F4" w:rsidRDefault="00E335F4" w:rsidP="00543A71">
            <w:pPr>
              <w:pStyle w:val="BodyText"/>
            </w:pPr>
            <w:r>
              <w:rPr>
                <w:rFonts w:eastAsiaTheme="minorEastAsia" w:hint="eastAsia"/>
              </w:rPr>
              <w:t>261.5</w:t>
            </w:r>
            <w:r w:rsidRPr="004A06BE">
              <w:rPr>
                <w:rFonts w:eastAsiaTheme="minorEastAsia" w:hint="eastAsia"/>
              </w:rPr>
              <w:t>ns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070" w:type="dxa"/>
          </w:tcPr>
          <w:p w14:paraId="6BEA5564" w14:textId="3942EADD" w:rsidR="00E335F4" w:rsidRDefault="00E335F4" w:rsidP="00543A71">
            <w:pPr>
              <w:pStyle w:val="BodyText"/>
              <w:rPr>
                <w:rFonts w:eastAsiaTheme="minorEastAsia"/>
              </w:rPr>
            </w:pPr>
            <w:r w:rsidRPr="00E335F4">
              <w:rPr>
                <w:rFonts w:eastAsiaTheme="minorEastAsia"/>
              </w:rPr>
              <w:t>196.5ns</w:t>
            </w:r>
          </w:p>
        </w:tc>
      </w:tr>
      <w:tr w:rsidR="00E335F4" w14:paraId="5648F78A" w14:textId="0CB7E346" w:rsidTr="00E335F4">
        <w:trPr>
          <w:jc w:val="center"/>
        </w:trPr>
        <w:tc>
          <w:tcPr>
            <w:tcW w:w="4135" w:type="dxa"/>
          </w:tcPr>
          <w:p w14:paraId="6E103A94" w14:textId="7F98ABEB" w:rsidR="00E335F4" w:rsidRDefault="00E335F4" w:rsidP="00543A71">
            <w:pPr>
              <w:pStyle w:val="BodyText"/>
            </w:pPr>
            <w:r>
              <w:t>Ericsson [R1-2106682]</w:t>
            </w:r>
          </w:p>
        </w:tc>
        <w:tc>
          <w:tcPr>
            <w:tcW w:w="2070" w:type="dxa"/>
          </w:tcPr>
          <w:p w14:paraId="7FA41F12" w14:textId="70F62E4D" w:rsidR="00E335F4" w:rsidRDefault="00E335F4" w:rsidP="00543A71">
            <w:pPr>
              <w:pStyle w:val="BodyText"/>
            </w:pPr>
            <w:r>
              <w:t>234.8 ns</w:t>
            </w:r>
          </w:p>
        </w:tc>
        <w:tc>
          <w:tcPr>
            <w:tcW w:w="2070" w:type="dxa"/>
          </w:tcPr>
          <w:p w14:paraId="05969FAB" w14:textId="77777777" w:rsidR="00E335F4" w:rsidRDefault="00E335F4" w:rsidP="00543A71">
            <w:pPr>
              <w:pStyle w:val="BodyText"/>
            </w:pPr>
          </w:p>
        </w:tc>
      </w:tr>
    </w:tbl>
    <w:p w14:paraId="031574B7" w14:textId="77777777" w:rsidR="00260F53" w:rsidRDefault="00260F53" w:rsidP="00543A71">
      <w:pPr>
        <w:pStyle w:val="BodyText"/>
      </w:pPr>
    </w:p>
    <w:p w14:paraId="33A84447" w14:textId="28E666FA" w:rsidR="00FD1040" w:rsidRPr="00E12807" w:rsidRDefault="00FD1040" w:rsidP="00FD1040">
      <w:pPr>
        <w:spacing w:before="120"/>
        <w:jc w:val="center"/>
        <w:rPr>
          <w:rFonts w:ascii="Arial" w:hAnsi="Arial" w:cs="Arial"/>
          <w:lang w:val="en-US"/>
        </w:rPr>
      </w:pPr>
      <w:r w:rsidRPr="00FD1040">
        <w:rPr>
          <w:rFonts w:ascii="Arial" w:hAnsi="Arial" w:cs="Arial"/>
          <w:lang w:val="en-US"/>
        </w:rPr>
        <w:t xml:space="preserve">Table </w:t>
      </w:r>
      <w:r w:rsidRPr="00FD1040">
        <w:rPr>
          <w:rFonts w:ascii="Arial" w:hAnsi="Arial" w:cs="Arial"/>
          <w:lang w:val="en-US"/>
        </w:rPr>
        <w:fldChar w:fldCharType="begin"/>
      </w:r>
      <w:r w:rsidRPr="00FD1040">
        <w:rPr>
          <w:rFonts w:ascii="Arial" w:hAnsi="Arial" w:cs="Arial"/>
          <w:lang w:val="en-US"/>
        </w:rPr>
        <w:instrText xml:space="preserve"> SEQ Table \* ARABIC </w:instrText>
      </w:r>
      <w:r w:rsidRPr="00FD1040">
        <w:rPr>
          <w:rFonts w:ascii="Arial" w:hAnsi="Arial" w:cs="Arial"/>
          <w:lang w:val="en-US"/>
        </w:rPr>
        <w:fldChar w:fldCharType="separate"/>
      </w:r>
      <w:r w:rsidR="00E335F4">
        <w:rPr>
          <w:rFonts w:ascii="Arial" w:hAnsi="Arial" w:cs="Arial"/>
          <w:noProof/>
          <w:lang w:val="en-US"/>
        </w:rPr>
        <w:t>2</w:t>
      </w:r>
      <w:r w:rsidRPr="00FD1040"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 Synchronization requirement</w:t>
      </w:r>
      <w:r w:rsidRPr="00E12807">
        <w:rPr>
          <w:rFonts w:ascii="Arial" w:hAnsi="Arial" w:cs="Arial"/>
          <w:lang w:val="en-US"/>
        </w:rPr>
        <w:t xml:space="preserve"> for a Single </w:t>
      </w:r>
      <w:proofErr w:type="spellStart"/>
      <w:r w:rsidRPr="00E12807">
        <w:rPr>
          <w:rFonts w:ascii="Arial" w:hAnsi="Arial" w:cs="Arial"/>
          <w:lang w:val="en-US"/>
        </w:rPr>
        <w:t>Uu</w:t>
      </w:r>
      <w:proofErr w:type="spellEnd"/>
      <w:r w:rsidRPr="00E12807">
        <w:rPr>
          <w:rFonts w:ascii="Arial" w:hAnsi="Arial" w:cs="Arial"/>
          <w:lang w:val="en-US"/>
        </w:rPr>
        <w:t xml:space="preserve"> interface</w:t>
      </w:r>
    </w:p>
    <w:tbl>
      <w:tblPr>
        <w:tblStyle w:val="TableGrid1"/>
        <w:tblW w:w="0" w:type="auto"/>
        <w:tblInd w:w="1573" w:type="dxa"/>
        <w:tblLook w:val="04A0" w:firstRow="1" w:lastRow="0" w:firstColumn="1" w:lastColumn="0" w:noHBand="0" w:noVBand="1"/>
      </w:tblPr>
      <w:tblGrid>
        <w:gridCol w:w="2972"/>
        <w:gridCol w:w="3402"/>
      </w:tblGrid>
      <w:tr w:rsidR="00FD1040" w:rsidRPr="00E12807" w14:paraId="218BCDA9" w14:textId="77777777" w:rsidTr="00DA74EA">
        <w:trPr>
          <w:trHeight w:val="233"/>
        </w:trPr>
        <w:tc>
          <w:tcPr>
            <w:tcW w:w="2972" w:type="dxa"/>
          </w:tcPr>
          <w:p w14:paraId="595024E5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72A43B82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Pr="00E1280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Pr="00E1280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FD1040" w:rsidRPr="00E12807" w14:paraId="2986DBC7" w14:textId="77777777" w:rsidTr="00DA74EA">
        <w:trPr>
          <w:trHeight w:val="246"/>
        </w:trPr>
        <w:tc>
          <w:tcPr>
            <w:tcW w:w="2972" w:type="dxa"/>
          </w:tcPr>
          <w:p w14:paraId="0B5D815F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1D38DD19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  <w:tr w:rsidR="00FD1040" w:rsidRPr="00E12807" w14:paraId="3D625495" w14:textId="77777777" w:rsidTr="00DA74EA">
        <w:trPr>
          <w:trHeight w:val="236"/>
        </w:trPr>
        <w:tc>
          <w:tcPr>
            <w:tcW w:w="2972" w:type="dxa"/>
          </w:tcPr>
          <w:p w14:paraId="35AA3703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5E0D4023" w14:textId="77777777" w:rsidR="00FD1040" w:rsidRPr="00E12807" w:rsidRDefault="00FD1040" w:rsidP="00DA74EA">
            <w:pPr>
              <w:overflowPunct/>
              <w:autoSpaceDE/>
              <w:autoSpaceDN/>
              <w:adjustRightInd/>
              <w:spacing w:after="160"/>
              <w:contextualSpacing/>
              <w:jc w:val="center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E12807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0053B81E" w14:textId="77777777" w:rsidR="00FD1040" w:rsidRPr="00E12807" w:rsidRDefault="00FD1040" w:rsidP="00FD1040">
      <w:pPr>
        <w:snapToGrid w:val="0"/>
        <w:spacing w:after="120"/>
        <w:rPr>
          <w:rFonts w:ascii="Arial" w:hAnsi="Arial" w:cs="Arial"/>
          <w:lang w:val="en-US"/>
        </w:rPr>
      </w:pPr>
    </w:p>
    <w:p w14:paraId="7A35BA78" w14:textId="30809207" w:rsidR="0027144F" w:rsidRPr="00CE0424" w:rsidRDefault="00BC0A28" w:rsidP="00CE0424">
      <w:pPr>
        <w:pStyle w:val="BodyText"/>
      </w:pPr>
      <w:proofErr w:type="gramStart"/>
      <w:r>
        <w:rPr>
          <w:lang w:val="en-US"/>
        </w:rPr>
        <w:t>Considering the discussion status at RAN1/RAN2/RAN3/RAN4, it</w:t>
      </w:r>
      <w:proofErr w:type="gramEnd"/>
      <w:r>
        <w:rPr>
          <w:lang w:val="en-US"/>
        </w:rPr>
        <w:t xml:space="preserve"> is important that RAN plenary gives the guidance</w:t>
      </w:r>
      <w:r w:rsidR="00260F53">
        <w:t xml:space="preserve"> that RTT-based method should be adopted for Rel-17 time synchronization. </w:t>
      </w:r>
      <w:r>
        <w:t>Th</w:t>
      </w:r>
      <w:r w:rsidR="006A595E">
        <w:t>en</w:t>
      </w:r>
      <w:r>
        <w:t xml:space="preserve"> </w:t>
      </w:r>
      <w:r w:rsidR="00260F53">
        <w:t xml:space="preserve">RAN1 and RAN2 </w:t>
      </w:r>
      <w:r>
        <w:t>proceed</w:t>
      </w:r>
      <w:r w:rsidR="00260F53">
        <w:t xml:space="preserve"> to specify the necessary signalling and configuration in the remaining meeting time for Rel-17.</w:t>
      </w:r>
    </w:p>
    <w:p w14:paraId="7F6B0CB6" w14:textId="77777777" w:rsidR="00517D69" w:rsidRPr="00CE0424" w:rsidRDefault="00517D69" w:rsidP="00517D69">
      <w:pPr>
        <w:pStyle w:val="BodyText"/>
      </w:pPr>
    </w:p>
    <w:p w14:paraId="48D39941" w14:textId="3FB3E153" w:rsidR="00287838" w:rsidRPr="00A04F49" w:rsidRDefault="00260F53" w:rsidP="00A04F49">
      <w:pPr>
        <w:pStyle w:val="Proposal"/>
      </w:pPr>
      <w:bookmarkStart w:id="5" w:name="_Toc81611145"/>
      <w:r>
        <w:t>Adopt RTT-based method for Rel-17 time synchronization</w:t>
      </w:r>
      <w:r w:rsidR="00543A71">
        <w:t>.</w:t>
      </w:r>
      <w:bookmarkEnd w:id="5"/>
    </w:p>
    <w:p w14:paraId="7389B923" w14:textId="15CD8C8F" w:rsidR="00517D69" w:rsidRDefault="00517D69" w:rsidP="00517D69">
      <w:pPr>
        <w:pStyle w:val="BodyText"/>
      </w:pPr>
    </w:p>
    <w:p w14:paraId="0996000D" w14:textId="2A743C8E" w:rsidR="0063186F" w:rsidRDefault="0063186F" w:rsidP="00517D69">
      <w:pPr>
        <w:pStyle w:val="BodyText"/>
      </w:pPr>
      <w:r>
        <w:t>If RAN plenary does not converge on the adoption of the RTT-based method, then it is not realistic that RAN1/RAN2 can finish the task before WI closure. Specifically, no propagation delay compensation can be specified in Rel-17 to satisfy the requirement of the control-to-control use case. The only achievable goal is to enable propagation delay compensation for the smart grid scenario using the existing TA procedure, without any enhancement.</w:t>
      </w:r>
    </w:p>
    <w:p w14:paraId="245E4DD4" w14:textId="4D9214D1" w:rsidR="0063186F" w:rsidRPr="00A04F49" w:rsidRDefault="0082142D" w:rsidP="0063186F">
      <w:pPr>
        <w:pStyle w:val="Proposal"/>
      </w:pPr>
      <w:bookmarkStart w:id="6" w:name="_Toc81611146"/>
      <w:r>
        <w:t xml:space="preserve">If </w:t>
      </w:r>
      <w:r w:rsidR="0063186F">
        <w:t xml:space="preserve">RTT-based method </w:t>
      </w:r>
      <w:r>
        <w:t xml:space="preserve">is not adopted </w:t>
      </w:r>
      <w:r w:rsidR="0063186F">
        <w:t>for Rel-17</w:t>
      </w:r>
      <w:r>
        <w:t>, modify the WID to: “</w:t>
      </w:r>
      <w:r w:rsidRPr="0082142D">
        <w:t>b.</w:t>
      </w:r>
      <w:r>
        <w:t xml:space="preserve"> </w:t>
      </w:r>
      <w:r w:rsidRPr="0082142D">
        <w:t xml:space="preserve">Propagation delay compensation enhancements </w:t>
      </w:r>
      <w:r w:rsidRPr="0082142D">
        <w:rPr>
          <w:u w:val="single"/>
        </w:rPr>
        <w:t>for smart grid scenario</w:t>
      </w:r>
      <w:r>
        <w:t xml:space="preserve"> </w:t>
      </w:r>
      <w:r w:rsidRPr="0082142D">
        <w:t>(including mobility issues, if any)</w:t>
      </w:r>
      <w:r>
        <w:t>”</w:t>
      </w:r>
      <w:r w:rsidR="0063186F">
        <w:t>.</w:t>
      </w:r>
      <w:bookmarkEnd w:id="6"/>
    </w:p>
    <w:p w14:paraId="61A57AA1" w14:textId="77777777" w:rsidR="0063186F" w:rsidRPr="00CE0424" w:rsidRDefault="0063186F" w:rsidP="00517D69">
      <w:pPr>
        <w:pStyle w:val="BodyText"/>
      </w:pPr>
    </w:p>
    <w:p w14:paraId="78D4789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2438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9E93732" w14:textId="7B5E6ECB" w:rsidR="00E335F4" w:rsidRDefault="006F6582">
      <w:pPr>
        <w:pStyle w:val="TableofFigures"/>
        <w:tabs>
          <w:tab w:val="right" w:leader="dot" w:pos="962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1609310" w:history="1">
        <w:r w:rsidR="00E335F4" w:rsidRPr="003D3FA3">
          <w:rPr>
            <w:rStyle w:val="Hyperlink"/>
            <w:noProof/>
          </w:rPr>
          <w:t>Observation 1</w:t>
        </w:r>
        <w:r w:rsidR="00E335F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E335F4" w:rsidRPr="003D3FA3">
          <w:rPr>
            <w:rStyle w:val="Hyperlink"/>
            <w:noProof/>
          </w:rPr>
          <w:t>No progress can be made for TA-based method in RAN1 before receiving RAN4 response LS.</w:t>
        </w:r>
      </w:hyperlink>
    </w:p>
    <w:p w14:paraId="0BD4C653" w14:textId="22F72E9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CC906AF" w14:textId="77777777" w:rsidR="006E1C82" w:rsidRDefault="006E1C82" w:rsidP="008E065E">
      <w:pPr>
        <w:pStyle w:val="BodyText"/>
        <w:rPr>
          <w:b/>
          <w:bCs/>
        </w:rPr>
      </w:pPr>
    </w:p>
    <w:p w14:paraId="4712720B" w14:textId="77777777" w:rsidR="006E1C82" w:rsidRDefault="008E065E" w:rsidP="00486C4F">
      <w:pPr>
        <w:pStyle w:val="BodyText"/>
        <w:jc w:val="lef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1127E5D" w14:textId="38584313" w:rsidR="0082142D" w:rsidRDefault="006E1C82">
      <w:pPr>
        <w:pStyle w:val="TableofFigures"/>
        <w:tabs>
          <w:tab w:val="right" w:leader="dot" w:pos="962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1611145" w:history="1">
        <w:r w:rsidR="0082142D" w:rsidRPr="00DE18A5">
          <w:rPr>
            <w:rStyle w:val="Hyperlink"/>
            <w:noProof/>
          </w:rPr>
          <w:t>Proposal 1</w:t>
        </w:r>
        <w:r w:rsidR="008214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2142D" w:rsidRPr="00DE18A5">
          <w:rPr>
            <w:rStyle w:val="Hyperlink"/>
            <w:noProof/>
          </w:rPr>
          <w:t>Adopt RTT-based method for Rel-17 time synchronization.</w:t>
        </w:r>
      </w:hyperlink>
    </w:p>
    <w:p w14:paraId="6D8697A4" w14:textId="26746210" w:rsidR="0082142D" w:rsidRDefault="00486C4F">
      <w:pPr>
        <w:pStyle w:val="TableofFigures"/>
        <w:tabs>
          <w:tab w:val="right" w:leader="dot" w:pos="962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81611146" w:history="1">
        <w:r w:rsidR="0082142D" w:rsidRPr="00DE18A5">
          <w:rPr>
            <w:rStyle w:val="Hyperlink"/>
            <w:noProof/>
          </w:rPr>
          <w:t>Proposal 2</w:t>
        </w:r>
        <w:r w:rsidR="0082142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2142D" w:rsidRPr="00DE18A5">
          <w:rPr>
            <w:rStyle w:val="Hyperlink"/>
            <w:noProof/>
          </w:rPr>
          <w:t>If RTT-based method is not adopted for Rel-17, modify the WID to: “b. Propagation delay compensation enhancements for smart grid scenario (including mobility issues, if any)”.</w:t>
        </w:r>
      </w:hyperlink>
    </w:p>
    <w:p w14:paraId="4A5CA458" w14:textId="5F74511B" w:rsidR="00C01F33" w:rsidRPr="002E65DA" w:rsidRDefault="006E1C82" w:rsidP="002E65D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F19AAB2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397BB491" w14:textId="793BBA69" w:rsidR="00977108" w:rsidRDefault="00977108" w:rsidP="00311702">
      <w:pPr>
        <w:pStyle w:val="Reference"/>
      </w:pPr>
      <w:bookmarkStart w:id="8" w:name="_Ref174151459"/>
      <w:bookmarkStart w:id="9" w:name="_Ref189809556"/>
      <w:r w:rsidRPr="00977108">
        <w:t>RP-210854</w:t>
      </w:r>
      <w:r>
        <w:t xml:space="preserve"> (</w:t>
      </w:r>
      <w:r w:rsidRPr="00977108">
        <w:t>Revision of RP-210834</w:t>
      </w:r>
      <w:r>
        <w:t>), “</w:t>
      </w:r>
      <w:r w:rsidRPr="00977108">
        <w:t>Revised WID: Enhanced Industrial Internet of Things (IoT) and ultra-reliable and low latency communication (URLLC) support for NR</w:t>
      </w:r>
      <w:r>
        <w:t xml:space="preserve">,” </w:t>
      </w:r>
      <w:r w:rsidRPr="00977108">
        <w:t>3GPP TSG RAN Meeting #91e</w:t>
      </w:r>
      <w:r>
        <w:t xml:space="preserve">, </w:t>
      </w:r>
      <w:r w:rsidRPr="00977108">
        <w:t xml:space="preserve">16 – 26 </w:t>
      </w:r>
      <w:proofErr w:type="gramStart"/>
      <w:r w:rsidRPr="00977108">
        <w:t>March,</w:t>
      </w:r>
      <w:proofErr w:type="gramEnd"/>
      <w:r w:rsidRPr="00977108">
        <w:t xml:space="preserve"> 2021</w:t>
      </w:r>
      <w:r>
        <w:t>.</w:t>
      </w:r>
    </w:p>
    <w:p w14:paraId="0B9B20FA" w14:textId="4D4242FD" w:rsidR="00043D10" w:rsidRDefault="00043D10" w:rsidP="00311702">
      <w:pPr>
        <w:pStyle w:val="Reference"/>
      </w:pPr>
      <w:r w:rsidRPr="00043D10">
        <w:t>RP-211569</w:t>
      </w:r>
      <w:r>
        <w:t xml:space="preserve">, </w:t>
      </w:r>
      <w:r w:rsidRPr="00043D10">
        <w:t>Moderator's summary for email discussion [92-e-15-IIoT-URLLC-Scope]</w:t>
      </w:r>
      <w:r>
        <w:t xml:space="preserve">, </w:t>
      </w:r>
      <w:r w:rsidRPr="00043D10">
        <w:t>Samsung (RAN1 Chairman)</w:t>
      </w:r>
      <w:r>
        <w:t xml:space="preserve">, </w:t>
      </w:r>
      <w:r w:rsidRPr="00043D10">
        <w:t>3GPP TSG RAN Meeting #92-e</w:t>
      </w:r>
      <w:r>
        <w:t xml:space="preserve">, </w:t>
      </w:r>
      <w:r w:rsidRPr="00043D10">
        <w:t>e-Meeting, June 14th – 18th, 2021</w:t>
      </w:r>
      <w:r>
        <w:t>.</w:t>
      </w:r>
    </w:p>
    <w:p w14:paraId="17DA1201" w14:textId="4068D643" w:rsidR="00977108" w:rsidRDefault="00977108" w:rsidP="00311702">
      <w:pPr>
        <w:pStyle w:val="Reference"/>
      </w:pPr>
      <w:r w:rsidRPr="00977108">
        <w:t>RAN1 Chair’s Notes</w:t>
      </w:r>
      <w:r>
        <w:t xml:space="preserve">, </w:t>
      </w:r>
      <w:r w:rsidRPr="00977108">
        <w:t>3GPP TSG RAN WG1 Meeting #10</w:t>
      </w:r>
      <w:r w:rsidR="00176C97">
        <w:t>6</w:t>
      </w:r>
      <w:r w:rsidRPr="00977108">
        <w:t>-e</w:t>
      </w:r>
      <w:r>
        <w:t>,</w:t>
      </w:r>
      <w:r w:rsidR="00043D10">
        <w:t xml:space="preserve"> August</w:t>
      </w:r>
      <w:r w:rsidRPr="00977108">
        <w:t xml:space="preserve"> 2021</w:t>
      </w:r>
      <w:r>
        <w:t>.</w:t>
      </w:r>
    </w:p>
    <w:p w14:paraId="10F09080" w14:textId="2816CD87" w:rsidR="003416A6" w:rsidRDefault="003416A6" w:rsidP="00311702">
      <w:pPr>
        <w:pStyle w:val="Reference"/>
      </w:pPr>
      <w:r w:rsidRPr="003416A6">
        <w:t>R1-2108635</w:t>
      </w:r>
      <w:r>
        <w:t xml:space="preserve">, </w:t>
      </w:r>
      <w:r w:rsidRPr="003416A6">
        <w:t>LS on TA-based propagation delay compensation</w:t>
      </w:r>
      <w:r>
        <w:t xml:space="preserve">, </w:t>
      </w:r>
      <w:r w:rsidRPr="003416A6">
        <w:t>3GPP TSG RAN WG1 Meeting #106-e</w:t>
      </w:r>
      <w:r>
        <w:t xml:space="preserve">, </w:t>
      </w:r>
      <w:r w:rsidRPr="003416A6">
        <w:t>e-Meeting, August 16th – 27th, 2021</w:t>
      </w:r>
      <w:r>
        <w:t>.</w:t>
      </w:r>
    </w:p>
    <w:p w14:paraId="24E1FA85" w14:textId="2FACFD75" w:rsidR="008A788A" w:rsidRDefault="008A788A" w:rsidP="00311702">
      <w:pPr>
        <w:pStyle w:val="Reference"/>
      </w:pPr>
      <w:r w:rsidRPr="008A788A">
        <w:t>R4-2115371</w:t>
      </w:r>
      <w:r>
        <w:t xml:space="preserve">, </w:t>
      </w:r>
      <w:r w:rsidRPr="008A788A">
        <w:t xml:space="preserve">WF on </w:t>
      </w:r>
      <w:proofErr w:type="spellStart"/>
      <w:r w:rsidRPr="008A788A">
        <w:t>NR_IIOT_URLLC_enh_RRM</w:t>
      </w:r>
      <w:proofErr w:type="spellEnd"/>
      <w:r>
        <w:t xml:space="preserve">, </w:t>
      </w:r>
      <w:r w:rsidRPr="008A788A">
        <w:t>3GPP TSG-RAN WG4 Meeting # 100-bis-e</w:t>
      </w:r>
      <w:r>
        <w:t xml:space="preserve">, </w:t>
      </w:r>
      <w:r w:rsidRPr="008A788A">
        <w:t>Electronic Meeting, 16th – 27th August 2021</w:t>
      </w:r>
      <w:r w:rsidR="00FD1040">
        <w:t>.</w:t>
      </w:r>
    </w:p>
    <w:p w14:paraId="1A843E62" w14:textId="4DE69899" w:rsidR="00FD1040" w:rsidRDefault="00FD1040" w:rsidP="00311702">
      <w:pPr>
        <w:pStyle w:val="Reference"/>
      </w:pPr>
      <w:r w:rsidRPr="00FD1040">
        <w:t>R1-2106682</w:t>
      </w:r>
      <w:r>
        <w:t xml:space="preserve">, </w:t>
      </w:r>
      <w:r w:rsidRPr="00FD1040">
        <w:t>Ericsson</w:t>
      </w:r>
      <w:r>
        <w:t>, “</w:t>
      </w:r>
      <w:r w:rsidRPr="00FD1040">
        <w:t>Propagation Delay Compensation Enhancements for Time Synchronization</w:t>
      </w:r>
      <w:r>
        <w:t>.”</w:t>
      </w:r>
    </w:p>
    <w:p w14:paraId="324C9661" w14:textId="2278F2D6" w:rsidR="00FD1040" w:rsidRDefault="00FD1040" w:rsidP="00311702">
      <w:pPr>
        <w:pStyle w:val="Reference"/>
      </w:pPr>
      <w:r w:rsidRPr="00FD1040">
        <w:t>R1-2107340</w:t>
      </w:r>
      <w:r>
        <w:t xml:space="preserve">, </w:t>
      </w:r>
      <w:r w:rsidRPr="00FD1040">
        <w:t>Qualcomm Incorporated</w:t>
      </w:r>
      <w:r>
        <w:t>, “</w:t>
      </w:r>
      <w:r w:rsidRPr="00FD1040">
        <w:t>Enhancements for support of time synchronization for enhanced IIoT and URLLC</w:t>
      </w:r>
      <w:r>
        <w:t>.”</w:t>
      </w:r>
    </w:p>
    <w:p w14:paraId="1508B9A3" w14:textId="1839D4DF" w:rsidR="00FD1040" w:rsidRDefault="00FD1040" w:rsidP="00311702">
      <w:pPr>
        <w:pStyle w:val="Reference"/>
      </w:pPr>
      <w:r w:rsidRPr="00FD1040">
        <w:t>R1-2107678</w:t>
      </w:r>
      <w:r>
        <w:t xml:space="preserve">, </w:t>
      </w:r>
      <w:r w:rsidRPr="00FD1040">
        <w:t>Huawei, HiSilicon</w:t>
      </w:r>
      <w:r>
        <w:t>, “</w:t>
      </w:r>
      <w:r w:rsidRPr="00FD1040">
        <w:t>Enhancements for support of time synchronization</w:t>
      </w:r>
      <w:r>
        <w:t>.”</w:t>
      </w:r>
    </w:p>
    <w:p w14:paraId="7DA8355E" w14:textId="3CCB6C3F" w:rsidR="00FD1040" w:rsidRDefault="00FD1040" w:rsidP="00311702">
      <w:pPr>
        <w:pStyle w:val="Reference"/>
      </w:pPr>
      <w:r w:rsidRPr="00FD1040">
        <w:t>R1-2106966</w:t>
      </w:r>
      <w:r>
        <w:t xml:space="preserve">, </w:t>
      </w:r>
      <w:proofErr w:type="gramStart"/>
      <w:r w:rsidRPr="00FD1040">
        <w:t>CATT</w:t>
      </w:r>
      <w:r>
        <w:t>,  “</w:t>
      </w:r>
      <w:proofErr w:type="gramEnd"/>
      <w:r w:rsidRPr="00FD1040">
        <w:t>Discussion on propagation delay compensation enhancements</w:t>
      </w:r>
      <w:r>
        <w:t>”.</w:t>
      </w:r>
    </w:p>
    <w:p w14:paraId="60909837" w14:textId="0F439D36" w:rsidR="00640BF5" w:rsidRDefault="00640BF5" w:rsidP="00640BF5">
      <w:pPr>
        <w:pStyle w:val="Reference"/>
        <w:numPr>
          <w:ilvl w:val="0"/>
          <w:numId w:val="0"/>
        </w:numPr>
        <w:ind w:left="567" w:hanging="567"/>
      </w:pPr>
    </w:p>
    <w:p w14:paraId="2FF2E82D" w14:textId="5F4A1669" w:rsidR="00640BF5" w:rsidRDefault="00640BF5" w:rsidP="00640BF5">
      <w:pPr>
        <w:pStyle w:val="Reference"/>
        <w:numPr>
          <w:ilvl w:val="0"/>
          <w:numId w:val="0"/>
        </w:numPr>
        <w:ind w:left="567" w:hanging="567"/>
      </w:pPr>
    </w:p>
    <w:p w14:paraId="30B802C4" w14:textId="4CB93076" w:rsidR="00640BF5" w:rsidRDefault="00640BF5" w:rsidP="00640BF5">
      <w:pPr>
        <w:pStyle w:val="Heading1"/>
      </w:pPr>
      <w:r>
        <w:t xml:space="preserve">Appendix. </w:t>
      </w:r>
      <w:r w:rsidR="008A788A">
        <w:t xml:space="preserve">Selected </w:t>
      </w:r>
      <w:r>
        <w:t>RAN1</w:t>
      </w:r>
      <w:r w:rsidR="008A788A">
        <w:t>/RAN2/RAN4</w:t>
      </w:r>
      <w:r>
        <w:t xml:space="preserve"> Agreements</w:t>
      </w:r>
    </w:p>
    <w:p w14:paraId="4A847A74" w14:textId="2AD12B81" w:rsidR="008A788A" w:rsidRPr="008A788A" w:rsidRDefault="008A788A" w:rsidP="008A788A">
      <w:pPr>
        <w:pStyle w:val="Heading2"/>
      </w:pPr>
      <w:r>
        <w:t>RAN1 Agreements</w:t>
      </w:r>
    </w:p>
    <w:p w14:paraId="07022F10" w14:textId="77777777" w:rsidR="00640BF5" w:rsidRDefault="00640BF5" w:rsidP="00640BF5">
      <w:pPr>
        <w:rPr>
          <w:highlight w:val="green"/>
        </w:rPr>
      </w:pPr>
      <w:r>
        <w:rPr>
          <w:highlight w:val="green"/>
        </w:rPr>
        <w:t>Agreements:</w:t>
      </w:r>
    </w:p>
    <w:p w14:paraId="79D43CC5" w14:textId="77777777" w:rsidR="00640BF5" w:rsidRDefault="00640BF5" w:rsidP="00640BF5">
      <w:r>
        <w:t xml:space="preserve">The following options for propagation delay compensation are further studied in RAN1  </w:t>
      </w:r>
    </w:p>
    <w:p w14:paraId="5E2C481A" w14:textId="77777777" w:rsidR="00640BF5" w:rsidRDefault="00640BF5" w:rsidP="00640BF5">
      <w:pPr>
        <w:numPr>
          <w:ilvl w:val="0"/>
          <w:numId w:val="33"/>
        </w:numPr>
        <w:overflowPunct/>
        <w:adjustRightInd/>
        <w:snapToGrid w:val="0"/>
        <w:spacing w:after="120" w:line="259" w:lineRule="auto"/>
        <w:contextualSpacing/>
        <w:jc w:val="both"/>
        <w:textAlignment w:val="auto"/>
      </w:pPr>
      <w:r>
        <w:rPr>
          <w:b/>
          <w:bCs/>
        </w:rPr>
        <w:t>Option 1</w:t>
      </w:r>
      <w:r>
        <w:t>: TA-based propagation delay</w:t>
      </w:r>
    </w:p>
    <w:p w14:paraId="63D6F512" w14:textId="77777777" w:rsidR="00640BF5" w:rsidRDefault="00640BF5" w:rsidP="00640BF5">
      <w:pPr>
        <w:numPr>
          <w:ilvl w:val="1"/>
          <w:numId w:val="33"/>
        </w:numPr>
        <w:overflowPunct/>
        <w:adjustRightInd/>
        <w:snapToGrid w:val="0"/>
        <w:spacing w:beforeLines="50" w:before="120" w:after="240" w:line="259" w:lineRule="auto"/>
        <w:ind w:left="2154" w:hanging="357"/>
        <w:contextualSpacing/>
        <w:jc w:val="both"/>
        <w:textAlignment w:val="auto"/>
      </w:pPr>
      <w:r>
        <w:rPr>
          <w:b/>
          <w:bCs/>
        </w:rPr>
        <w:t>Option 1a</w:t>
      </w:r>
      <w:r>
        <w:t>: Propagation delay estimation based on legacy Timing advance (potentially with enhanced TA indication granularity).</w:t>
      </w:r>
    </w:p>
    <w:p w14:paraId="48849565" w14:textId="77777777" w:rsidR="00640BF5" w:rsidRDefault="00640BF5" w:rsidP="00640BF5">
      <w:pPr>
        <w:spacing w:beforeLines="50" w:before="120" w:after="240"/>
        <w:ind w:left="2154"/>
        <w:contextualSpacing/>
      </w:pPr>
    </w:p>
    <w:p w14:paraId="21642613" w14:textId="77777777" w:rsidR="00640BF5" w:rsidRDefault="00640BF5" w:rsidP="00640BF5">
      <w:pPr>
        <w:numPr>
          <w:ilvl w:val="1"/>
          <w:numId w:val="33"/>
        </w:numPr>
        <w:overflowPunct/>
        <w:adjustRightInd/>
        <w:snapToGrid w:val="0"/>
        <w:spacing w:beforeLines="50" w:before="120" w:after="120" w:line="259" w:lineRule="auto"/>
        <w:ind w:left="2160"/>
        <w:contextualSpacing/>
        <w:jc w:val="both"/>
        <w:textAlignment w:val="auto"/>
      </w:pPr>
      <w:r>
        <w:rPr>
          <w:b/>
          <w:bCs/>
        </w:rPr>
        <w:t>Option 1b</w:t>
      </w:r>
      <w:r>
        <w:t xml:space="preserve">: Propagation delay estimation based on timing advanced enhanced for time synchronization (as 1a but with updated RAN4 requirements to TA adjustment error and </w:t>
      </w:r>
      <w:proofErr w:type="spellStart"/>
      <w:r>
        <w:t>Te</w:t>
      </w:r>
      <w:proofErr w:type="spellEnd"/>
      <w:r>
        <w:t>)</w:t>
      </w:r>
    </w:p>
    <w:p w14:paraId="1A156D56" w14:textId="77777777" w:rsidR="00640BF5" w:rsidRDefault="00640BF5" w:rsidP="00640BF5">
      <w:pPr>
        <w:ind w:left="720"/>
        <w:contextualSpacing/>
      </w:pPr>
    </w:p>
    <w:p w14:paraId="43104C31" w14:textId="77777777" w:rsidR="00640BF5" w:rsidRDefault="00640BF5" w:rsidP="00640BF5">
      <w:pPr>
        <w:numPr>
          <w:ilvl w:val="1"/>
          <w:numId w:val="33"/>
        </w:numPr>
        <w:overflowPunct/>
        <w:adjustRightInd/>
        <w:snapToGrid w:val="0"/>
        <w:spacing w:beforeLines="50" w:before="120" w:after="120" w:line="259" w:lineRule="auto"/>
        <w:ind w:left="2160"/>
        <w:contextualSpacing/>
        <w:jc w:val="both"/>
        <w:textAlignment w:val="auto"/>
        <w:rPr>
          <w:b/>
          <w:bCs/>
        </w:rPr>
      </w:pPr>
      <w:r>
        <w:rPr>
          <w:b/>
          <w:bCs/>
        </w:rPr>
        <w:t xml:space="preserve">Option 1c: </w:t>
      </w:r>
      <w:r>
        <w:t>Propagation delay estimation based on a new dedicated signaling with finer delay compensation granularity (Separated signaling from TA so that TA procedure is not affected)</w:t>
      </w:r>
    </w:p>
    <w:p w14:paraId="6347C65F" w14:textId="77777777" w:rsidR="00640BF5" w:rsidRDefault="00640BF5" w:rsidP="00640BF5">
      <w:pPr>
        <w:spacing w:beforeLines="50" w:before="120"/>
        <w:ind w:left="2160"/>
        <w:contextualSpacing/>
      </w:pPr>
    </w:p>
    <w:p w14:paraId="53920ACB" w14:textId="77777777" w:rsidR="00640BF5" w:rsidRDefault="00640BF5" w:rsidP="00640BF5">
      <w:pPr>
        <w:numPr>
          <w:ilvl w:val="0"/>
          <w:numId w:val="33"/>
        </w:numPr>
        <w:overflowPunct/>
        <w:adjustRightInd/>
        <w:snapToGrid w:val="0"/>
        <w:spacing w:after="120" w:line="259" w:lineRule="auto"/>
        <w:ind w:left="714" w:hanging="357"/>
        <w:contextualSpacing/>
        <w:jc w:val="both"/>
        <w:textAlignment w:val="auto"/>
      </w:pPr>
      <w:r>
        <w:rPr>
          <w:b/>
          <w:bCs/>
        </w:rPr>
        <w:t>Option 2</w:t>
      </w:r>
      <w:r>
        <w:t>: RTT based delay compensation:</w:t>
      </w:r>
    </w:p>
    <w:p w14:paraId="24B4F73F" w14:textId="77777777" w:rsidR="00640BF5" w:rsidRDefault="00640BF5" w:rsidP="00640BF5">
      <w:pPr>
        <w:numPr>
          <w:ilvl w:val="1"/>
          <w:numId w:val="33"/>
        </w:numPr>
        <w:overflowPunct/>
        <w:adjustRightInd/>
        <w:snapToGrid w:val="0"/>
        <w:spacing w:beforeLines="50" w:before="120" w:after="120" w:line="259" w:lineRule="auto"/>
        <w:ind w:left="2160"/>
        <w:contextualSpacing/>
        <w:jc w:val="both"/>
        <w:textAlignment w:val="auto"/>
      </w:pPr>
      <w:r>
        <w:t xml:space="preserve">Propagation delay estimation based on an RAN managed Rx-Tx procedure intended for time synchronization (FFS to expand or separate procedure/signaling to positioning). </w:t>
      </w:r>
    </w:p>
    <w:p w14:paraId="384A952F" w14:textId="560C0EA3" w:rsidR="00640BF5" w:rsidRDefault="00640BF5" w:rsidP="00640BF5">
      <w:pPr>
        <w:pStyle w:val="Reference"/>
        <w:numPr>
          <w:ilvl w:val="0"/>
          <w:numId w:val="0"/>
        </w:numPr>
        <w:ind w:left="567" w:hanging="567"/>
      </w:pPr>
    </w:p>
    <w:p w14:paraId="656FD9D6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0F04E18E" w14:textId="77777777" w:rsidR="00AE29E0" w:rsidRPr="00472EE0" w:rsidRDefault="00AE29E0" w:rsidP="00AE29E0">
      <w:pPr>
        <w:spacing w:after="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472EE0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494DACE6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zh-CN"/>
        </w:rPr>
      </w:pPr>
      <w:r w:rsidRPr="00472EE0">
        <w:rPr>
          <w:rFonts w:ascii="Times" w:eastAsia="Batang" w:hAnsi="Times"/>
          <w:szCs w:val="24"/>
          <w:lang w:eastAsia="zh-CN"/>
        </w:rPr>
        <w:t>Send LS to RAN4 to ask for feedback on the following questions:</w:t>
      </w:r>
    </w:p>
    <w:p w14:paraId="43EEC2C1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/>
          <w:b/>
          <w:szCs w:val="24"/>
          <w:lang w:eastAsia="zh-CN"/>
        </w:rPr>
        <w:t>Question 1</w:t>
      </w:r>
      <w:r w:rsidRPr="00472EE0">
        <w:rPr>
          <w:rFonts w:ascii="Times" w:hAnsi="Times"/>
          <w:szCs w:val="24"/>
          <w:lang w:eastAsia="zh-CN"/>
        </w:rPr>
        <w:t xml:space="preserve">: Is it feasible to support a smaller value than the current </w:t>
      </w:r>
      <w:proofErr w:type="spellStart"/>
      <w:r w:rsidRPr="00472EE0">
        <w:rPr>
          <w:rFonts w:ascii="Times" w:hAnsi="Times"/>
          <w:szCs w:val="24"/>
          <w:lang w:eastAsia="zh-CN"/>
        </w:rPr>
        <w:t>Te</w:t>
      </w:r>
      <w:proofErr w:type="spellEnd"/>
      <w:r w:rsidRPr="00472EE0">
        <w:rPr>
          <w:rFonts w:ascii="Times" w:hAnsi="Times"/>
          <w:szCs w:val="24"/>
          <w:lang w:eastAsia="zh-CN"/>
        </w:rPr>
        <w:t xml:space="preserve"> for the use of propagation delay compensation, assuming the existing conditions in TS 38.133 for </w:t>
      </w:r>
      <w:proofErr w:type="spellStart"/>
      <w:r w:rsidRPr="00472EE0">
        <w:rPr>
          <w:rFonts w:ascii="Times" w:hAnsi="Times"/>
          <w:szCs w:val="24"/>
          <w:lang w:eastAsia="zh-CN"/>
        </w:rPr>
        <w:t>Te</w:t>
      </w:r>
      <w:proofErr w:type="spellEnd"/>
      <w:r w:rsidRPr="00472EE0">
        <w:rPr>
          <w:rFonts w:ascii="Times" w:hAnsi="Times"/>
          <w:szCs w:val="24"/>
          <w:lang w:eastAsia="zh-CN"/>
        </w:rPr>
        <w:t xml:space="preserve"> requirement? If not, is it feasible under new conditions (</w:t>
      </w:r>
      <w:proofErr w:type="gramStart"/>
      <w:r w:rsidRPr="00472EE0">
        <w:rPr>
          <w:rFonts w:ascii="Times" w:hAnsi="Times"/>
          <w:szCs w:val="24"/>
          <w:lang w:eastAsia="zh-CN"/>
        </w:rPr>
        <w:t>e.g.</w:t>
      </w:r>
      <w:proofErr w:type="gramEnd"/>
      <w:r w:rsidRPr="00472EE0">
        <w:rPr>
          <w:rFonts w:ascii="Times" w:hAnsi="Times"/>
          <w:szCs w:val="24"/>
          <w:lang w:eastAsia="zh-CN"/>
        </w:rPr>
        <w:t xml:space="preserve"> using TRS instead of SSB)? If the answer is yes, please also </w:t>
      </w:r>
      <w:proofErr w:type="gramStart"/>
      <w:r w:rsidRPr="00472EE0">
        <w:rPr>
          <w:rFonts w:ascii="Times" w:hAnsi="Times"/>
          <w:szCs w:val="24"/>
          <w:lang w:eastAsia="zh-CN"/>
        </w:rPr>
        <w:t>provide</w:t>
      </w:r>
      <w:proofErr w:type="gramEnd"/>
      <w:r w:rsidRPr="00472EE0">
        <w:rPr>
          <w:rFonts w:ascii="Times" w:hAnsi="Times"/>
          <w:szCs w:val="24"/>
          <w:lang w:eastAsia="zh-CN"/>
        </w:rPr>
        <w:t xml:space="preserve"> feedback on how much it can be reduced at most.  </w:t>
      </w:r>
    </w:p>
    <w:p w14:paraId="39B23FBA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/>
          <w:b/>
          <w:szCs w:val="24"/>
          <w:lang w:eastAsia="zh-CN"/>
        </w:rPr>
        <w:t>Question 2</w:t>
      </w:r>
      <w:r w:rsidRPr="00472EE0">
        <w:rPr>
          <w:rFonts w:ascii="Times" w:hAnsi="Times"/>
          <w:szCs w:val="24"/>
          <w:lang w:eastAsia="zh-CN"/>
        </w:rPr>
        <w:t>: Is it feasible to introduce enhanced TA command indication granularity? If the answer is yes, please also provide feedback on how much it can be reduced at most (e.g. reduced to (1/</w:t>
      </w:r>
      <w:proofErr w:type="gramStart"/>
      <w:r w:rsidRPr="00472EE0">
        <w:rPr>
          <w:rFonts w:ascii="Times" w:hAnsi="Times"/>
          <w:szCs w:val="24"/>
          <w:lang w:eastAsia="zh-CN"/>
        </w:rPr>
        <w:t>16)*</w:t>
      </w:r>
      <w:proofErr w:type="gramEnd"/>
      <w:r w:rsidRPr="00472EE0">
        <w:rPr>
          <w:rFonts w:ascii="Times" w:hAnsi="Times"/>
          <w:szCs w:val="24"/>
          <w:lang w:eastAsia="zh-CN"/>
        </w:rPr>
        <w:t xml:space="preserve"> (16*64*Tc/2</w:t>
      </w:r>
      <w:r w:rsidRPr="00472EE0">
        <w:rPr>
          <w:rFonts w:ascii="Times" w:hAnsi="Times"/>
          <w:szCs w:val="24"/>
          <w:lang w:eastAsia="zh-CN"/>
        </w:rPr>
        <w:sym w:font="Symbol" w:char="F06D"/>
      </w:r>
      <w:r w:rsidRPr="00472EE0">
        <w:rPr>
          <w:rFonts w:ascii="Times" w:hAnsi="Times"/>
          <w:szCs w:val="24"/>
          <w:lang w:eastAsia="zh-CN"/>
        </w:rPr>
        <w:t>)) similar as the granularity for Rel-16 IAB based on the Timing Delta MAC CE and related condition.</w:t>
      </w:r>
    </w:p>
    <w:p w14:paraId="0643A5B4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 w:hint="eastAsia"/>
          <w:szCs w:val="24"/>
          <w:lang w:eastAsia="zh-CN"/>
        </w:rPr>
        <w:t>N</w:t>
      </w:r>
      <w:r w:rsidRPr="00472EE0">
        <w:rPr>
          <w:rFonts w:ascii="Times" w:hAnsi="Times"/>
          <w:szCs w:val="24"/>
          <w:lang w:eastAsia="zh-CN"/>
        </w:rPr>
        <w:t xml:space="preserve">ote 1: The alternatives in the working assumption achieved in RAN1#104bis-e together with the examples in Table 4.2-2 will be included in the LS to give some background for RAN4 </w:t>
      </w:r>
    </w:p>
    <w:p w14:paraId="6C38A9C7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/>
          <w:szCs w:val="24"/>
          <w:lang w:eastAsia="zh-CN"/>
        </w:rPr>
        <w:t xml:space="preserve">Note 2: The agreement “both SCS 15 kHz and 30 kHz are assumed for both control-to-control and smart grid for evaluation of the time synchronization” achieved in RAN1#102-e will be included in the LS for RAN4 information also. </w:t>
      </w:r>
    </w:p>
    <w:p w14:paraId="54D62AC2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/>
          <w:szCs w:val="24"/>
          <w:lang w:eastAsia="zh-CN"/>
        </w:rPr>
        <w:t xml:space="preserve">Note 3: Inform RAN4 that the enhancements on </w:t>
      </w:r>
      <w:proofErr w:type="spellStart"/>
      <w:r w:rsidRPr="00472EE0">
        <w:rPr>
          <w:rFonts w:ascii="Times" w:hAnsi="Times"/>
          <w:szCs w:val="24"/>
          <w:lang w:eastAsia="zh-CN"/>
        </w:rPr>
        <w:t>Te</w:t>
      </w:r>
      <w:proofErr w:type="spellEnd"/>
      <w:r w:rsidRPr="00472EE0">
        <w:rPr>
          <w:rFonts w:ascii="Times" w:hAnsi="Times"/>
          <w:szCs w:val="24"/>
          <w:lang w:eastAsia="zh-CN"/>
        </w:rPr>
        <w:t xml:space="preserve"> and TA command indication granularity for propagation delay compensation may or may not have impact on normal TA related procedure, depending on which candidate option for TA-based PDC is adopted. Note that this is just for RAN4 information. </w:t>
      </w:r>
    </w:p>
    <w:p w14:paraId="37332ADF" w14:textId="77777777" w:rsidR="00AE29E0" w:rsidRPr="00472EE0" w:rsidRDefault="00AE29E0" w:rsidP="00AE29E0">
      <w:pPr>
        <w:numPr>
          <w:ilvl w:val="0"/>
          <w:numId w:val="34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ascii="Times" w:hAnsi="Times"/>
          <w:szCs w:val="24"/>
          <w:lang w:eastAsia="zh-CN"/>
        </w:rPr>
      </w:pPr>
      <w:r w:rsidRPr="00472EE0">
        <w:rPr>
          <w:rFonts w:ascii="Times" w:hAnsi="Times"/>
          <w:szCs w:val="24"/>
          <w:lang w:eastAsia="zh-CN"/>
        </w:rPr>
        <w:t>Note 4: Whether RAN1 will introduce specification enhancements is still undetermined.</w:t>
      </w:r>
    </w:p>
    <w:p w14:paraId="4100710C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  <w:r w:rsidRPr="00472EE0">
        <w:rPr>
          <w:rFonts w:ascii="Times" w:eastAsia="Batang" w:hAnsi="Times"/>
          <w:szCs w:val="24"/>
          <w:lang w:eastAsia="x-none"/>
        </w:rPr>
        <w:t xml:space="preserve">LS is endorsed in </w:t>
      </w:r>
      <w:r w:rsidRPr="00472EE0">
        <w:rPr>
          <w:rFonts w:ascii="Times" w:eastAsia="Batang" w:hAnsi="Times"/>
          <w:szCs w:val="24"/>
          <w:highlight w:val="green"/>
          <w:lang w:eastAsia="x-none"/>
        </w:rPr>
        <w:t>R1-2108635</w:t>
      </w:r>
      <w:r w:rsidRPr="00472EE0">
        <w:rPr>
          <w:rFonts w:ascii="Times" w:eastAsia="Batang" w:hAnsi="Times"/>
          <w:szCs w:val="24"/>
          <w:lang w:eastAsia="x-none"/>
        </w:rPr>
        <w:t>.</w:t>
      </w:r>
    </w:p>
    <w:p w14:paraId="48FDB080" w14:textId="38E83620" w:rsidR="00AE29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3F712E42" w14:textId="74088280" w:rsidR="002F0AE9" w:rsidRDefault="002F0AE9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19D0DBB2" w14:textId="77777777" w:rsidR="002F0AE9" w:rsidRPr="00472EE0" w:rsidRDefault="002F0AE9" w:rsidP="002F0AE9">
      <w:pPr>
        <w:spacing w:after="0" w:line="252" w:lineRule="auto"/>
        <w:contextualSpacing/>
        <w:rPr>
          <w:rFonts w:ascii="Times" w:eastAsia="Batang" w:hAnsi="Times"/>
          <w:b/>
          <w:i/>
          <w:szCs w:val="24"/>
          <w:highlight w:val="green"/>
          <w:lang w:eastAsia="zh-CN"/>
        </w:rPr>
      </w:pPr>
      <w:r w:rsidRPr="00472EE0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7C88EE2A" w14:textId="77777777" w:rsidR="002F0AE9" w:rsidRPr="00472EE0" w:rsidRDefault="002F0AE9" w:rsidP="002F0AE9">
      <w:pPr>
        <w:spacing w:after="0" w:line="252" w:lineRule="auto"/>
        <w:contextualSpacing/>
        <w:rPr>
          <w:rFonts w:ascii="Times" w:eastAsia="Batang" w:hAnsi="Times"/>
          <w:bCs/>
          <w:szCs w:val="24"/>
          <w:lang w:eastAsia="zh-CN"/>
        </w:rPr>
      </w:pPr>
      <w:r w:rsidRPr="00472EE0">
        <w:rPr>
          <w:rFonts w:ascii="Times" w:eastAsia="Batang" w:hAnsi="Times"/>
          <w:bCs/>
          <w:szCs w:val="24"/>
          <w:lang w:eastAsia="zh-CN"/>
        </w:rPr>
        <w:t>SRS can be used for Rx – Tx time difference estimation at gNB side for RTT-based propagation delay compensation, if RTT-based propagation delay compensation is supported.</w:t>
      </w:r>
    </w:p>
    <w:p w14:paraId="05835141" w14:textId="77777777" w:rsidR="002F0AE9" w:rsidRPr="00472EE0" w:rsidRDefault="002F0AE9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476901DB" w14:textId="77777777" w:rsidR="00AE29E0" w:rsidRPr="00472EE0" w:rsidRDefault="00AE29E0" w:rsidP="00AE29E0">
      <w:pPr>
        <w:spacing w:after="0" w:line="252" w:lineRule="auto"/>
        <w:contextualSpacing/>
        <w:rPr>
          <w:rFonts w:ascii="Times" w:eastAsia="Batang" w:hAnsi="Times"/>
          <w:b/>
          <w:i/>
          <w:szCs w:val="24"/>
          <w:highlight w:val="green"/>
          <w:lang w:eastAsia="zh-CN"/>
        </w:rPr>
      </w:pPr>
      <w:r w:rsidRPr="00472EE0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227902DB" w14:textId="77777777" w:rsidR="00AE29E0" w:rsidRPr="00472EE0" w:rsidRDefault="00AE29E0" w:rsidP="00AE29E0">
      <w:pPr>
        <w:spacing w:after="0" w:line="252" w:lineRule="auto"/>
        <w:contextualSpacing/>
        <w:rPr>
          <w:rFonts w:ascii="Times" w:eastAsia="Batang" w:hAnsi="Times"/>
          <w:bCs/>
          <w:szCs w:val="24"/>
          <w:lang w:eastAsia="zh-CN"/>
        </w:rPr>
      </w:pPr>
      <w:r w:rsidRPr="00472EE0">
        <w:rPr>
          <w:rFonts w:ascii="Times" w:eastAsia="Batang" w:hAnsi="Times"/>
          <w:bCs/>
          <w:szCs w:val="24"/>
          <w:lang w:eastAsia="zh-CN"/>
        </w:rPr>
        <w:t xml:space="preserve">If RTT-based propagation delay compensation is supported, </w:t>
      </w:r>
    </w:p>
    <w:p w14:paraId="176F4C4D" w14:textId="77777777" w:rsidR="00AE29E0" w:rsidRPr="00472EE0" w:rsidRDefault="00AE29E0" w:rsidP="00AE29E0">
      <w:pPr>
        <w:numPr>
          <w:ilvl w:val="0"/>
          <w:numId w:val="36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Batang" w:hAnsi="Times"/>
          <w:bCs/>
          <w:szCs w:val="24"/>
          <w:lang w:eastAsia="zh-CN"/>
        </w:rPr>
      </w:pPr>
      <w:r w:rsidRPr="00472EE0">
        <w:rPr>
          <w:rFonts w:ascii="Times" w:eastAsia="Batang" w:hAnsi="Times"/>
          <w:bCs/>
          <w:szCs w:val="24"/>
          <w:lang w:eastAsia="zh-CN"/>
        </w:rPr>
        <w:t>CSI-RS for tracking (TRS) can be used for Rx – Tx time difference estimation at UE side, if PRS is not configured for the UE.</w:t>
      </w:r>
    </w:p>
    <w:p w14:paraId="23CED70E" w14:textId="77777777" w:rsidR="00AE29E0" w:rsidRPr="00472EE0" w:rsidRDefault="00AE29E0" w:rsidP="00AE29E0">
      <w:pPr>
        <w:numPr>
          <w:ilvl w:val="0"/>
          <w:numId w:val="36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Batang" w:hAnsi="Times"/>
          <w:bCs/>
          <w:szCs w:val="24"/>
          <w:lang w:eastAsia="zh-CN"/>
        </w:rPr>
      </w:pPr>
      <w:r w:rsidRPr="00472EE0">
        <w:rPr>
          <w:rFonts w:ascii="Times" w:eastAsia="Batang" w:hAnsi="Times"/>
          <w:bCs/>
          <w:szCs w:val="24"/>
          <w:lang w:eastAsia="zh-CN"/>
        </w:rPr>
        <w:t xml:space="preserve">PRS can be used for Rx – Tx time difference estimation at UE side, if PRS is configured for the UE.  </w:t>
      </w:r>
    </w:p>
    <w:p w14:paraId="511CE696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5CC6F2AA" w14:textId="77777777" w:rsidR="00AE29E0" w:rsidRPr="00472EE0" w:rsidRDefault="00AE29E0" w:rsidP="00AE29E0">
      <w:pPr>
        <w:spacing w:after="0"/>
        <w:contextualSpacing/>
        <w:rPr>
          <w:rFonts w:ascii="Times" w:eastAsia="Batang" w:hAnsi="Times"/>
          <w:b/>
          <w:i/>
          <w:szCs w:val="24"/>
          <w:highlight w:val="green"/>
          <w:lang w:eastAsia="zh-CN"/>
        </w:rPr>
      </w:pPr>
      <w:r w:rsidRPr="00472EE0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57584C5B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zh-CN"/>
        </w:rPr>
      </w:pPr>
      <w:r w:rsidRPr="00472EE0">
        <w:rPr>
          <w:rFonts w:ascii="Times" w:eastAsia="Batang" w:hAnsi="Times"/>
          <w:szCs w:val="24"/>
          <w:lang w:eastAsia="zh-CN"/>
        </w:rPr>
        <w:t xml:space="preserve">Send LS to RAN4 to ask for defining the following for RTT-based propagation delay compensation, if RTT-based propagation delay compensation is supported.   </w:t>
      </w:r>
    </w:p>
    <w:p w14:paraId="71762EC6" w14:textId="77777777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bCs/>
          <w:szCs w:val="24"/>
          <w:lang w:eastAsia="x-none"/>
        </w:rPr>
      </w:pPr>
      <w:r w:rsidRPr="00472EE0">
        <w:rPr>
          <w:rFonts w:ascii="Times" w:eastAsia="Batang" w:hAnsi="Times"/>
          <w:szCs w:val="24"/>
          <w:lang w:eastAsia="x-none"/>
        </w:rPr>
        <w:t xml:space="preserve">UE Rx-Tx time difference measurement accuracy </w:t>
      </w:r>
      <w:proofErr w:type="spellStart"/>
      <w:proofErr w:type="gramStart"/>
      <w:r w:rsidRPr="00472EE0">
        <w:rPr>
          <w:rFonts w:ascii="Times" w:eastAsia="Batang" w:hAnsi="Times"/>
          <w:i/>
          <w:szCs w:val="24"/>
          <w:lang w:eastAsia="x-none"/>
        </w:rPr>
        <w:t>error</w:t>
      </w:r>
      <w:r w:rsidRPr="00472EE0">
        <w:rPr>
          <w:rFonts w:ascii="Times" w:eastAsia="Batang" w:hAnsi="Times"/>
          <w:i/>
          <w:szCs w:val="24"/>
          <w:vertAlign w:val="subscript"/>
          <w:lang w:eastAsia="x-none"/>
        </w:rPr>
        <w:t>UE,RxTxDiff</w:t>
      </w:r>
      <w:proofErr w:type="spellEnd"/>
      <w:proofErr w:type="gramEnd"/>
      <w:r w:rsidRPr="00472EE0">
        <w:rPr>
          <w:rFonts w:ascii="Times" w:eastAsia="Batang" w:hAnsi="Times"/>
          <w:i/>
          <w:szCs w:val="24"/>
          <w:lang w:eastAsia="x-none"/>
        </w:rPr>
        <w:t xml:space="preserve"> </w:t>
      </w:r>
      <w:r w:rsidRPr="00472EE0">
        <w:rPr>
          <w:rFonts w:ascii="Times" w:eastAsia="Batang" w:hAnsi="Times"/>
          <w:szCs w:val="24"/>
          <w:lang w:eastAsia="x-none"/>
        </w:rPr>
        <w:t>based on CSI-RS for tracking</w:t>
      </w:r>
    </w:p>
    <w:p w14:paraId="5DED5B76" w14:textId="18879444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color w:val="000000"/>
          <w:szCs w:val="24"/>
          <w:lang w:eastAsia="zh-CN"/>
        </w:rPr>
      </w:pPr>
      <w:r w:rsidRPr="00472EE0">
        <w:rPr>
          <w:rFonts w:ascii="Times" w:eastAsia="Batang" w:hAnsi="Times"/>
          <w:szCs w:val="24"/>
          <w:lang w:eastAsia="x-none"/>
        </w:rPr>
        <w:t>gNB Rx-Tx time difference absolute accuracy</w:t>
      </w:r>
      <w:r w:rsidRPr="00472EE0">
        <w:rPr>
          <w:rFonts w:ascii="Times" w:eastAsia="Batang" w:hAnsi="Times"/>
          <w:bCs/>
          <w:szCs w:val="24"/>
          <w:lang w:eastAsia="x-none"/>
        </w:rPr>
        <w:fldChar w:fldCharType="begin"/>
      </w:r>
      <w:r w:rsidRPr="00472EE0">
        <w:rPr>
          <w:rFonts w:ascii="Times" w:eastAsia="Batang" w:hAnsi="Times"/>
          <w:bCs/>
          <w:szCs w:val="24"/>
          <w:lang w:eastAsia="x-none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hint="eastAsia"/>
            <w:sz w:val="21"/>
            <w:szCs w:val="21"/>
          </w:rPr>
          <m:t>er</m:t>
        </m:r>
        <m:sSub>
          <m:sSubPr>
            <m:ctrlPr>
              <w:rPr>
                <w:rFonts w:ascii="Cambria Math" w:eastAsia="Malgun Gothic" w:hAnsi="Cambria Math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1"/>
                <w:szCs w:val="21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1"/>
                <w:szCs w:val="21"/>
              </w:rPr>
              <m:t>gNB,RxTxDiff</m:t>
            </m:r>
          </m:sub>
        </m:sSub>
      </m:oMath>
      <w:r w:rsidRPr="00472EE0">
        <w:rPr>
          <w:rFonts w:ascii="Times" w:eastAsia="Batang" w:hAnsi="Times"/>
          <w:bCs/>
          <w:szCs w:val="24"/>
          <w:lang w:eastAsia="x-none"/>
        </w:rPr>
        <w:instrText xml:space="preserve"> </w:instrText>
      </w:r>
      <w:r w:rsidRPr="00472EE0">
        <w:rPr>
          <w:rFonts w:ascii="Times" w:eastAsia="Batang" w:hAnsi="Times"/>
          <w:bCs/>
          <w:szCs w:val="24"/>
          <w:lang w:eastAsia="x-none"/>
        </w:rPr>
        <w:fldChar w:fldCharType="separate"/>
      </w:r>
      <m:oMath>
        <m:r>
          <m:rPr>
            <m:sty m:val="p"/>
          </m:rPr>
          <w:rPr>
            <w:rFonts w:ascii="Cambria Math" w:hAnsi="Cambria Math" w:hint="eastAsia"/>
            <w:sz w:val="21"/>
            <w:szCs w:val="21"/>
          </w:rPr>
          <m:t>er</m:t>
        </m:r>
        <m:sSub>
          <m:sSubPr>
            <m:ctrlPr>
              <w:rPr>
                <w:rFonts w:ascii="Cambria Math" w:eastAsia="Malgun Gothic" w:hAnsi="Cambria Math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1"/>
                <w:szCs w:val="21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1"/>
                <w:szCs w:val="21"/>
              </w:rPr>
              <m:t>gNB,RxTxDiff</m:t>
            </m:r>
          </m:sub>
        </m:sSub>
      </m:oMath>
      <w:r w:rsidRPr="00472EE0">
        <w:rPr>
          <w:rFonts w:ascii="Times" w:eastAsia="Batang" w:hAnsi="Times"/>
          <w:bCs/>
          <w:szCs w:val="24"/>
          <w:lang w:eastAsia="x-none"/>
        </w:rPr>
        <w:fldChar w:fldCharType="end"/>
      </w:r>
      <w:r w:rsidRPr="00472EE0">
        <w:rPr>
          <w:rFonts w:ascii="Times" w:eastAsia="Batang" w:hAnsi="Times"/>
          <w:i/>
          <w:szCs w:val="24"/>
          <w:lang w:eastAsia="x-none"/>
        </w:rPr>
        <w:t xml:space="preserve"> </w:t>
      </w:r>
      <w:proofErr w:type="gramStart"/>
      <w:r w:rsidRPr="00472EE0">
        <w:rPr>
          <w:rFonts w:ascii="Times" w:eastAsia="Batang" w:hAnsi="Times"/>
          <w:i/>
          <w:szCs w:val="24"/>
          <w:lang w:eastAsia="x-none"/>
        </w:rPr>
        <w:t>error</w:t>
      </w:r>
      <w:proofErr w:type="spellStart"/>
      <w:r w:rsidRPr="00472EE0">
        <w:rPr>
          <w:rFonts w:ascii="Times" w:eastAsia="Batang" w:hAnsi="Times"/>
          <w:i/>
          <w:szCs w:val="24"/>
          <w:vertAlign w:val="subscript"/>
          <w:lang w:eastAsia="x-none"/>
        </w:rPr>
        <w:t>UE,RxTxDiff</w:t>
      </w:r>
      <w:proofErr w:type="spellEnd"/>
      <w:proofErr w:type="gramEnd"/>
      <w:r w:rsidRPr="00472EE0">
        <w:rPr>
          <w:rFonts w:ascii="Times" w:eastAsia="Batang" w:hAnsi="Times"/>
          <w:i/>
          <w:szCs w:val="24"/>
          <w:lang w:eastAsia="x-none"/>
        </w:rPr>
        <w:t xml:space="preserve"> </w:t>
      </w:r>
      <w:r w:rsidRPr="00472EE0">
        <w:rPr>
          <w:rFonts w:ascii="Times" w:eastAsia="Batang" w:hAnsi="Times"/>
          <w:bCs/>
          <w:szCs w:val="24"/>
          <w:lang w:eastAsia="x-none"/>
        </w:rPr>
        <w:t>based on SRS</w:t>
      </w:r>
    </w:p>
    <w:p w14:paraId="75DAAFAE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5185A826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0F909AC4" w14:textId="77777777" w:rsidR="00AE29E0" w:rsidRPr="00472EE0" w:rsidRDefault="00AE29E0" w:rsidP="00AE29E0">
      <w:pPr>
        <w:spacing w:after="0"/>
        <w:contextualSpacing/>
        <w:rPr>
          <w:rFonts w:ascii="Times" w:eastAsia="Batang" w:hAnsi="Times"/>
          <w:b/>
          <w:i/>
          <w:szCs w:val="24"/>
          <w:highlight w:val="green"/>
          <w:lang w:eastAsia="zh-CN"/>
        </w:rPr>
      </w:pPr>
      <w:r w:rsidRPr="00472EE0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398E0654" w14:textId="77777777" w:rsidR="00AE29E0" w:rsidRPr="00472EE0" w:rsidRDefault="00AE29E0" w:rsidP="00AE29E0">
      <w:pPr>
        <w:spacing w:after="0"/>
        <w:rPr>
          <w:rFonts w:ascii="Times" w:eastAsia="Batang" w:hAnsi="Times"/>
          <w:bCs/>
          <w:szCs w:val="24"/>
          <w:lang w:eastAsia="zh-CN"/>
        </w:rPr>
      </w:pPr>
      <w:r w:rsidRPr="00472EE0">
        <w:rPr>
          <w:rFonts w:ascii="Times" w:eastAsia="Batang" w:hAnsi="Times"/>
          <w:bCs/>
          <w:szCs w:val="24"/>
          <w:lang w:eastAsia="zh-CN"/>
        </w:rPr>
        <w:t xml:space="preserve">Support the following configurations for RTT-based propagation delay compensation, if RTT-based propagation delay compensation is supported.  </w:t>
      </w:r>
    </w:p>
    <w:p w14:paraId="1895960A" w14:textId="77777777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bCs/>
          <w:szCs w:val="24"/>
          <w:lang w:eastAsia="x-none"/>
        </w:rPr>
      </w:pPr>
      <w:r w:rsidRPr="00472EE0">
        <w:rPr>
          <w:rFonts w:ascii="Times" w:eastAsia="Batang" w:hAnsi="Times"/>
          <w:bCs/>
          <w:szCs w:val="24"/>
          <w:lang w:eastAsia="x-none"/>
        </w:rPr>
        <w:t xml:space="preserve">At least one CSI-RS for tracking (TRS) configuration </w:t>
      </w:r>
      <w:r w:rsidRPr="00472EE0">
        <w:rPr>
          <w:rFonts w:ascii="Times" w:eastAsia="Batang" w:hAnsi="Times"/>
          <w:bCs/>
          <w:szCs w:val="24"/>
          <w:lang w:eastAsia="zh-CN"/>
        </w:rPr>
        <w:t>for Rx – Tx time difference estimation at UE side</w:t>
      </w:r>
      <w:r w:rsidRPr="00472EE0">
        <w:rPr>
          <w:rFonts w:ascii="Times" w:eastAsia="Batang" w:hAnsi="Times"/>
          <w:bCs/>
          <w:color w:val="000000"/>
          <w:szCs w:val="24"/>
          <w:lang w:eastAsia="zh-CN"/>
        </w:rPr>
        <w:t xml:space="preserve"> if PRS is not configured</w:t>
      </w:r>
    </w:p>
    <w:p w14:paraId="3DA9C916" w14:textId="77777777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bCs/>
          <w:szCs w:val="24"/>
          <w:lang w:eastAsia="x-none"/>
        </w:rPr>
      </w:pPr>
      <w:r w:rsidRPr="00472EE0">
        <w:rPr>
          <w:rFonts w:ascii="Times" w:eastAsia="Batang" w:hAnsi="Times"/>
          <w:bCs/>
          <w:szCs w:val="24"/>
          <w:lang w:eastAsia="x-none"/>
        </w:rPr>
        <w:t xml:space="preserve">At least one SRS configuration </w:t>
      </w:r>
      <w:r w:rsidRPr="00472EE0">
        <w:rPr>
          <w:rFonts w:ascii="Times" w:eastAsia="Batang" w:hAnsi="Times"/>
          <w:bCs/>
          <w:szCs w:val="24"/>
          <w:lang w:eastAsia="zh-CN"/>
        </w:rPr>
        <w:t>for Rx – Tx time difference estimation at gNB side</w:t>
      </w:r>
    </w:p>
    <w:p w14:paraId="35942776" w14:textId="77777777" w:rsidR="00AE29E0" w:rsidRPr="00472EE0" w:rsidRDefault="00AE29E0" w:rsidP="00AE29E0">
      <w:pPr>
        <w:spacing w:after="0"/>
        <w:rPr>
          <w:rFonts w:ascii="Times" w:eastAsia="Batang" w:hAnsi="Times"/>
          <w:sz w:val="32"/>
          <w:szCs w:val="40"/>
          <w:lang w:eastAsia="x-none"/>
        </w:rPr>
      </w:pPr>
    </w:p>
    <w:p w14:paraId="0FBAA4E0" w14:textId="77777777" w:rsidR="00AE29E0" w:rsidRPr="00472EE0" w:rsidRDefault="00AE29E0" w:rsidP="00AE29E0">
      <w:pPr>
        <w:spacing w:after="0"/>
        <w:contextualSpacing/>
        <w:rPr>
          <w:rFonts w:ascii="Times" w:eastAsia="Batang" w:hAnsi="Times"/>
          <w:b/>
          <w:i/>
          <w:szCs w:val="24"/>
          <w:highlight w:val="green"/>
          <w:lang w:eastAsia="zh-CN"/>
        </w:rPr>
      </w:pPr>
      <w:r w:rsidRPr="00472EE0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0653D209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zh-CN"/>
        </w:rPr>
      </w:pPr>
      <w:r w:rsidRPr="00472EE0">
        <w:rPr>
          <w:rFonts w:ascii="Times" w:eastAsia="Batang" w:hAnsi="Times"/>
          <w:szCs w:val="24"/>
          <w:lang w:eastAsia="zh-CN"/>
        </w:rPr>
        <w:lastRenderedPageBreak/>
        <w:t xml:space="preserve">If RTT-based propagation delay compensation is supported and performed at the UE side, the Rx-Tx measurement report provided from the gNB to the UE should include at least:  </w:t>
      </w:r>
    </w:p>
    <w:p w14:paraId="58AD60A2" w14:textId="77777777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bCs/>
          <w:szCs w:val="24"/>
          <w:lang w:eastAsia="x-none"/>
        </w:rPr>
      </w:pPr>
      <w:r w:rsidRPr="00472EE0">
        <w:rPr>
          <w:rFonts w:ascii="Times" w:eastAsia="Batang" w:hAnsi="Times"/>
          <w:bCs/>
          <w:szCs w:val="24"/>
          <w:lang w:eastAsia="x-none"/>
        </w:rPr>
        <w:t>gNB Rx-Tx time difference at a given granularity</w:t>
      </w:r>
    </w:p>
    <w:p w14:paraId="0E611DFE" w14:textId="77777777" w:rsidR="00AE29E0" w:rsidRPr="00472EE0" w:rsidRDefault="00AE29E0" w:rsidP="00AE29E0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" w:eastAsia="Batang" w:hAnsi="Times"/>
          <w:bCs/>
          <w:szCs w:val="24"/>
          <w:lang w:eastAsia="x-none"/>
        </w:rPr>
      </w:pPr>
      <w:r w:rsidRPr="00472EE0">
        <w:rPr>
          <w:rFonts w:ascii="Times" w:eastAsia="Batang" w:hAnsi="Times"/>
          <w:bCs/>
          <w:szCs w:val="24"/>
          <w:lang w:eastAsia="x-none"/>
        </w:rPr>
        <w:t>FFS whether to include SRS-Resource-ID</w:t>
      </w:r>
    </w:p>
    <w:p w14:paraId="3EC84568" w14:textId="77777777" w:rsidR="00AE29E0" w:rsidRPr="00472EE0" w:rsidRDefault="00AE29E0" w:rsidP="00AE29E0">
      <w:pPr>
        <w:spacing w:after="0"/>
        <w:rPr>
          <w:rFonts w:ascii="Times" w:eastAsia="Batang" w:hAnsi="Times"/>
          <w:szCs w:val="24"/>
          <w:lang w:eastAsia="x-none"/>
        </w:rPr>
      </w:pPr>
    </w:p>
    <w:p w14:paraId="279A685F" w14:textId="1B7C91A3" w:rsidR="00AE29E0" w:rsidRDefault="00AE29E0" w:rsidP="00640BF5">
      <w:pPr>
        <w:pStyle w:val="Reference"/>
        <w:numPr>
          <w:ilvl w:val="0"/>
          <w:numId w:val="0"/>
        </w:numPr>
        <w:ind w:left="567" w:hanging="567"/>
      </w:pPr>
    </w:p>
    <w:p w14:paraId="196A7916" w14:textId="27E7238F" w:rsidR="008A788A" w:rsidRPr="008A788A" w:rsidRDefault="008A788A" w:rsidP="008A788A">
      <w:pPr>
        <w:pStyle w:val="Heading2"/>
      </w:pPr>
      <w:r>
        <w:t>RAN2 Agreements</w:t>
      </w:r>
    </w:p>
    <w:p w14:paraId="14EBECB7" w14:textId="7CEB2EE2" w:rsidR="008A788A" w:rsidRDefault="008A788A" w:rsidP="00640BF5">
      <w:pPr>
        <w:pStyle w:val="Reference"/>
        <w:numPr>
          <w:ilvl w:val="0"/>
          <w:numId w:val="0"/>
        </w:numPr>
        <w:ind w:left="567" w:hanging="567"/>
      </w:pPr>
      <w:r>
        <w:t>In RAN2#115</w:t>
      </w:r>
      <w:r w:rsidR="00A427C0">
        <w:t>-</w:t>
      </w:r>
      <w:r>
        <w:t>e, RAN2 made the following agreements:</w:t>
      </w:r>
    </w:p>
    <w:p w14:paraId="02872DD4" w14:textId="77777777" w:rsidR="008A788A" w:rsidRDefault="008A788A" w:rsidP="008A788A">
      <w:pPr>
        <w:pStyle w:val="Doc-text2"/>
        <w:ind w:leftChars="72" w:left="507"/>
        <w:rPr>
          <w:b/>
          <w:bCs/>
          <w:lang w:val="en-GB" w:eastAsia="zh-CN"/>
        </w:rPr>
      </w:pPr>
      <w:r>
        <w:rPr>
          <w:b/>
          <w:bCs/>
          <w:lang w:val="en-GB"/>
        </w:rPr>
        <w:t>Agreements</w:t>
      </w:r>
    </w:p>
    <w:p w14:paraId="16F5D70A" w14:textId="77777777" w:rsidR="008A788A" w:rsidRP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 w:eastAsia="en-GB"/>
        </w:rPr>
      </w:pPr>
      <w:r w:rsidRPr="008A788A">
        <w:rPr>
          <w:lang w:val="en-GB"/>
        </w:rPr>
        <w:t xml:space="preserve">RAN2 assumes that gNB can perform pre-compensation.  RAN2 agrees to introduce signalling to enable/disable UE-side PDC.  </w:t>
      </w:r>
    </w:p>
    <w:p w14:paraId="704756E0" w14:textId="77777777" w:rsidR="008A788A" w:rsidRP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/>
        </w:rPr>
      </w:pPr>
      <w:r w:rsidRPr="008A788A">
        <w:rPr>
          <w:lang w:val="en-GB"/>
        </w:rPr>
        <w:t>The gNB can enable/disable UE-side PDC via unicast-RRC signalling for Rel-17</w:t>
      </w:r>
    </w:p>
    <w:p w14:paraId="7BDCC1B6" w14:textId="77777777" w:rsidR="008A788A" w:rsidRP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/>
        </w:rPr>
      </w:pPr>
      <w:r w:rsidRPr="005920D3">
        <w:rPr>
          <w:color w:val="FF0000"/>
          <w:lang w:val="en-GB"/>
        </w:rPr>
        <w:t>RAN2 shall wait for RAN1 to decide</w:t>
      </w:r>
      <w:r w:rsidRPr="008A788A">
        <w:rPr>
          <w:lang w:val="en-GB"/>
        </w:rPr>
        <w:t xml:space="preserve"> the measurement framework for RTT based PDC method and does not preclude UE-side PDC or gNB based pre-compensation at this point.  </w:t>
      </w:r>
      <w:r w:rsidRPr="005920D3">
        <w:rPr>
          <w:color w:val="FF0000"/>
          <w:lang w:val="en-GB"/>
        </w:rPr>
        <w:t>RAN2 is expecting guidance from RAN1 on what is needed. </w:t>
      </w:r>
      <w:r w:rsidRPr="008A788A">
        <w:rPr>
          <w:lang w:val="en-GB"/>
        </w:rPr>
        <w:t xml:space="preserve"> </w:t>
      </w:r>
    </w:p>
    <w:p w14:paraId="5F006A83" w14:textId="77777777" w:rsid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/>
        </w:rPr>
      </w:pPr>
      <w:r w:rsidRPr="008A788A">
        <w:rPr>
          <w:lang w:val="en-GB"/>
        </w:rPr>
        <w:t>UE Assistance information from the UE which could for example be used by gNB to activate PDC is not</w:t>
      </w:r>
      <w:r>
        <w:rPr>
          <w:lang w:val="en-GB"/>
        </w:rPr>
        <w:t xml:space="preserve"> supported</w:t>
      </w:r>
    </w:p>
    <w:p w14:paraId="2E03061F" w14:textId="77777777" w:rsid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/>
        </w:rPr>
      </w:pPr>
      <w:r>
        <w:rPr>
          <w:lang w:val="en-GB"/>
        </w:rPr>
        <w:t>Implicit activation of UE-side PDC when a pre-configured threshold is met is not supported</w:t>
      </w:r>
    </w:p>
    <w:p w14:paraId="450EA7A2" w14:textId="77777777" w:rsidR="008A788A" w:rsidRDefault="008A788A" w:rsidP="008A788A">
      <w:pPr>
        <w:pStyle w:val="Doc-text2"/>
        <w:numPr>
          <w:ilvl w:val="0"/>
          <w:numId w:val="37"/>
        </w:numPr>
        <w:tabs>
          <w:tab w:val="clear" w:pos="1622"/>
        </w:tabs>
        <w:overflowPunct/>
        <w:autoSpaceDE/>
        <w:autoSpaceDN/>
        <w:adjustRightInd/>
        <w:ind w:leftChars="72" w:left="504"/>
        <w:textAlignment w:val="auto"/>
        <w:rPr>
          <w:lang w:val="en-GB"/>
        </w:rPr>
      </w:pPr>
      <w:r>
        <w:rPr>
          <w:lang w:val="en-GB"/>
        </w:rPr>
        <w:t>UE-based trigger for TA update or RACH procedure for PDC are deprioritized for Release 17</w:t>
      </w:r>
    </w:p>
    <w:p w14:paraId="7355BDF7" w14:textId="6BCC4900" w:rsidR="008A788A" w:rsidRDefault="008A788A" w:rsidP="00640BF5">
      <w:pPr>
        <w:pStyle w:val="Reference"/>
        <w:numPr>
          <w:ilvl w:val="0"/>
          <w:numId w:val="0"/>
        </w:numPr>
        <w:ind w:left="567" w:hanging="567"/>
      </w:pPr>
    </w:p>
    <w:p w14:paraId="17196715" w14:textId="3409EDFF" w:rsidR="005920D3" w:rsidRDefault="005920D3" w:rsidP="00640BF5">
      <w:pPr>
        <w:pStyle w:val="Reference"/>
        <w:numPr>
          <w:ilvl w:val="0"/>
          <w:numId w:val="0"/>
        </w:numPr>
        <w:ind w:left="567" w:hanging="567"/>
      </w:pPr>
    </w:p>
    <w:p w14:paraId="299D3B9C" w14:textId="1D695DF4" w:rsidR="005920D3" w:rsidRPr="008A788A" w:rsidRDefault="005920D3" w:rsidP="005920D3">
      <w:pPr>
        <w:pStyle w:val="Heading2"/>
      </w:pPr>
      <w:r>
        <w:t>RAN4 Agreements</w:t>
      </w:r>
    </w:p>
    <w:p w14:paraId="706FC988" w14:textId="50D28661" w:rsidR="005920D3" w:rsidRPr="00E14910" w:rsidRDefault="005920D3" w:rsidP="005920D3">
      <w:pPr>
        <w:rPr>
          <w:lang w:eastAsia="en-GB"/>
        </w:rPr>
      </w:pPr>
      <w:r w:rsidRPr="00E14910">
        <w:rPr>
          <w:lang w:eastAsia="en-GB"/>
        </w:rPr>
        <w:t>WF on RRM for NR IIoT and URLLC was agreed (R4-2115371).</w:t>
      </w:r>
    </w:p>
    <w:p w14:paraId="3124BCCC" w14:textId="77777777" w:rsidR="005920D3" w:rsidRPr="00E14910" w:rsidRDefault="005920D3" w:rsidP="005920D3">
      <w:pPr>
        <w:rPr>
          <w:lang w:eastAsia="en-GB"/>
        </w:rPr>
      </w:pPr>
      <w:r w:rsidRPr="00E14910">
        <w:rPr>
          <w:lang w:eastAsia="en-GB"/>
        </w:rPr>
        <w:t>-</w:t>
      </w:r>
      <w:r w:rsidRPr="00E14910">
        <w:rPr>
          <w:lang w:eastAsia="en-GB"/>
        </w:rPr>
        <w:tab/>
        <w:t xml:space="preserve">If new </w:t>
      </w:r>
      <w:proofErr w:type="spellStart"/>
      <w:r w:rsidRPr="00E14910">
        <w:rPr>
          <w:lang w:eastAsia="en-GB"/>
        </w:rPr>
        <w:t>Te</w:t>
      </w:r>
      <w:proofErr w:type="spellEnd"/>
      <w:r w:rsidRPr="00E14910">
        <w:rPr>
          <w:lang w:eastAsia="en-GB"/>
        </w:rPr>
        <w:t xml:space="preserve"> requirements are agreed in the future, these should be captured in a compatible manner (no impact on legacy devices and UEs not supporting the feature).</w:t>
      </w:r>
    </w:p>
    <w:p w14:paraId="696BBE2A" w14:textId="77777777" w:rsidR="005920D3" w:rsidRPr="00E14910" w:rsidRDefault="005920D3" w:rsidP="005920D3">
      <w:pPr>
        <w:rPr>
          <w:color w:val="FF0000"/>
          <w:lang w:eastAsia="en-GB"/>
        </w:rPr>
      </w:pPr>
      <w:r w:rsidRPr="00E14910">
        <w:rPr>
          <w:lang w:eastAsia="en-GB"/>
        </w:rPr>
        <w:t>-</w:t>
      </w:r>
      <w:r w:rsidRPr="00E14910">
        <w:rPr>
          <w:lang w:eastAsia="en-GB"/>
        </w:rPr>
        <w:tab/>
      </w:r>
      <w:r w:rsidRPr="00E14910">
        <w:rPr>
          <w:color w:val="FF0000"/>
          <w:lang w:eastAsia="en-GB"/>
        </w:rPr>
        <w:t>RAN4 waits for the PDC enhancements progress in RAN1 before discussing further.</w:t>
      </w:r>
    </w:p>
    <w:p w14:paraId="7BFC1804" w14:textId="656B4C37" w:rsidR="005920D3" w:rsidRPr="005920D3" w:rsidRDefault="005920D3" w:rsidP="005920D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en-GB"/>
        </w:rPr>
      </w:pPr>
      <w:r w:rsidRPr="00E14910">
        <w:rPr>
          <w:lang w:eastAsia="en-GB"/>
        </w:rPr>
        <w:t>-</w:t>
      </w:r>
      <w:r w:rsidRPr="00E14910">
        <w:rPr>
          <w:lang w:eastAsia="en-GB"/>
        </w:rPr>
        <w:tab/>
      </w:r>
      <w:r w:rsidRPr="00E14910">
        <w:rPr>
          <w:rFonts w:ascii="Times New Roman" w:hAnsi="Times New Roman"/>
          <w:lang w:eastAsia="en-GB"/>
        </w:rPr>
        <w:t>Further discuss the wordings for the definition of reference point/downlink timing based on ‘The downlink timing is defined as the time, when the first [detected] path in time of the corresponding downlink frame from the reference cell [arrives/is received] at the UE antenna.’</w:t>
      </w:r>
    </w:p>
    <w:bookmarkEnd w:id="8"/>
    <w:bookmarkEnd w:id="9"/>
    <w:sectPr w:rsidR="005920D3" w:rsidRPr="005920D3" w:rsidSect="00272C2E">
      <w:headerReference w:type="even" r:id="rId11"/>
      <w:footerReference w:type="default" r:id="rId12"/>
      <w:footnotePr>
        <w:numRestart w:val="eachSect"/>
      </w:footnotePr>
      <w:pgSz w:w="11907" w:h="16840" w:code="9"/>
      <w:pgMar w:top="1138" w:right="1134" w:bottom="141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63C3" w14:textId="77777777" w:rsidR="00E84AE6" w:rsidRDefault="00E84AE6">
      <w:r>
        <w:separator/>
      </w:r>
    </w:p>
  </w:endnote>
  <w:endnote w:type="continuationSeparator" w:id="0">
    <w:p w14:paraId="0AB427D1" w14:textId="77777777" w:rsidR="00E84AE6" w:rsidRDefault="00E84AE6">
      <w:r>
        <w:continuationSeparator/>
      </w:r>
    </w:p>
  </w:endnote>
  <w:endnote w:type="continuationNotice" w:id="1">
    <w:p w14:paraId="05A81EFD" w14:textId="77777777" w:rsidR="00E84AE6" w:rsidRDefault="00E84A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1621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B6DF6" w14:textId="77777777" w:rsidR="00E84AE6" w:rsidRDefault="00E84AE6">
      <w:r>
        <w:separator/>
      </w:r>
    </w:p>
  </w:footnote>
  <w:footnote w:type="continuationSeparator" w:id="0">
    <w:p w14:paraId="17A5E570" w14:textId="77777777" w:rsidR="00E84AE6" w:rsidRDefault="00E84AE6">
      <w:r>
        <w:continuationSeparator/>
      </w:r>
    </w:p>
  </w:footnote>
  <w:footnote w:type="continuationNotice" w:id="1">
    <w:p w14:paraId="3E855345" w14:textId="77777777" w:rsidR="00E84AE6" w:rsidRDefault="00E84A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71C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040518"/>
    <w:multiLevelType w:val="multilevel"/>
    <w:tmpl w:val="2DFA4D00"/>
    <w:lvl w:ilvl="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hint="default"/>
      </w:rPr>
    </w:lvl>
  </w:abstractNum>
  <w:abstractNum w:abstractNumId="6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multilevel"/>
    <w:tmpl w:val="25987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B13BEF"/>
    <w:multiLevelType w:val="hybridMultilevel"/>
    <w:tmpl w:val="7C9A8DAC"/>
    <w:lvl w:ilvl="0" w:tplc="268886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E91EA95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A8599D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A66A7"/>
    <w:multiLevelType w:val="hybridMultilevel"/>
    <w:tmpl w:val="D6889D3A"/>
    <w:lvl w:ilvl="0" w:tplc="559A8162">
      <w:start w:val="1"/>
      <w:numFmt w:val="decimal"/>
      <w:lvlText w:val="Option 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6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18"/>
  </w:num>
  <w:num w:numId="16">
    <w:abstractNumId w:val="27"/>
  </w:num>
  <w:num w:numId="17">
    <w:abstractNumId w:val="7"/>
  </w:num>
  <w:num w:numId="18">
    <w:abstractNumId w:val="9"/>
  </w:num>
  <w:num w:numId="19">
    <w:abstractNumId w:val="4"/>
  </w:num>
  <w:num w:numId="20">
    <w:abstractNumId w:val="34"/>
  </w:num>
  <w:num w:numId="21">
    <w:abstractNumId w:val="13"/>
  </w:num>
  <w:num w:numId="22">
    <w:abstractNumId w:val="33"/>
  </w:num>
  <w:num w:numId="23">
    <w:abstractNumId w:val="31"/>
  </w:num>
  <w:num w:numId="24">
    <w:abstractNumId w:val="24"/>
  </w:num>
  <w:num w:numId="25">
    <w:abstractNumId w:val="31"/>
  </w:num>
  <w:num w:numId="26">
    <w:abstractNumId w:val="32"/>
  </w:num>
  <w:num w:numId="27">
    <w:abstractNumId w:val="28"/>
  </w:num>
  <w:num w:numId="2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8"/>
  </w:num>
  <w:num w:numId="34">
    <w:abstractNumId w:val="21"/>
  </w:num>
  <w:num w:numId="35">
    <w:abstractNumId w:val="6"/>
  </w:num>
  <w:num w:numId="36">
    <w:abstractNumId w:val="20"/>
  </w:num>
  <w:num w:numId="37">
    <w:abstractNumId w:val="5"/>
  </w:num>
  <w:num w:numId="38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AF3"/>
    <w:rsid w:val="000006E1"/>
    <w:rsid w:val="00002A37"/>
    <w:rsid w:val="0000564C"/>
    <w:rsid w:val="00006446"/>
    <w:rsid w:val="00006896"/>
    <w:rsid w:val="00007CDC"/>
    <w:rsid w:val="00011B28"/>
    <w:rsid w:val="00015D15"/>
    <w:rsid w:val="00016ADD"/>
    <w:rsid w:val="0002564D"/>
    <w:rsid w:val="00025ECA"/>
    <w:rsid w:val="000325B8"/>
    <w:rsid w:val="00034C15"/>
    <w:rsid w:val="00036BA1"/>
    <w:rsid w:val="000422E2"/>
    <w:rsid w:val="00042F22"/>
    <w:rsid w:val="00043D10"/>
    <w:rsid w:val="000444EF"/>
    <w:rsid w:val="00052A07"/>
    <w:rsid w:val="000534E3"/>
    <w:rsid w:val="00055D7B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50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6FC"/>
    <w:rsid w:val="001659C1"/>
    <w:rsid w:val="00170188"/>
    <w:rsid w:val="00173A8E"/>
    <w:rsid w:val="0017502C"/>
    <w:rsid w:val="00176AF0"/>
    <w:rsid w:val="00176C97"/>
    <w:rsid w:val="00176D49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7C9"/>
    <w:rsid w:val="001C1CE5"/>
    <w:rsid w:val="001C3D2A"/>
    <w:rsid w:val="001C46AB"/>
    <w:rsid w:val="001C71DD"/>
    <w:rsid w:val="001D51BA"/>
    <w:rsid w:val="001D53E7"/>
    <w:rsid w:val="001D5494"/>
    <w:rsid w:val="001D6342"/>
    <w:rsid w:val="001D6D53"/>
    <w:rsid w:val="001E58E2"/>
    <w:rsid w:val="001E7AED"/>
    <w:rsid w:val="001F3236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E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0964"/>
    <w:rsid w:val="00241559"/>
    <w:rsid w:val="002435B3"/>
    <w:rsid w:val="0024529A"/>
    <w:rsid w:val="002458EB"/>
    <w:rsid w:val="002500C8"/>
    <w:rsid w:val="002540DC"/>
    <w:rsid w:val="00257543"/>
    <w:rsid w:val="00260F5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C2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68F9"/>
    <w:rsid w:val="002D7637"/>
    <w:rsid w:val="002E17F2"/>
    <w:rsid w:val="002E65DA"/>
    <w:rsid w:val="002E7CAE"/>
    <w:rsid w:val="002F0AE9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D34"/>
    <w:rsid w:val="00322C9F"/>
    <w:rsid w:val="003249D5"/>
    <w:rsid w:val="00324D23"/>
    <w:rsid w:val="00331751"/>
    <w:rsid w:val="00334579"/>
    <w:rsid w:val="00335858"/>
    <w:rsid w:val="00336BDA"/>
    <w:rsid w:val="003416A6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75A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B6F"/>
    <w:rsid w:val="003B369F"/>
    <w:rsid w:val="003B36A3"/>
    <w:rsid w:val="003B64BB"/>
    <w:rsid w:val="003B7FE5"/>
    <w:rsid w:val="003C11C8"/>
    <w:rsid w:val="003C2702"/>
    <w:rsid w:val="003C290B"/>
    <w:rsid w:val="003C7806"/>
    <w:rsid w:val="003D109F"/>
    <w:rsid w:val="003D2478"/>
    <w:rsid w:val="003D3C45"/>
    <w:rsid w:val="003D5AF3"/>
    <w:rsid w:val="003D5B1F"/>
    <w:rsid w:val="003E15FA"/>
    <w:rsid w:val="003E55E4"/>
    <w:rsid w:val="003E74E3"/>
    <w:rsid w:val="003F05C7"/>
    <w:rsid w:val="003F2CD4"/>
    <w:rsid w:val="003F3B5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DEB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930"/>
    <w:rsid w:val="00470C31"/>
    <w:rsid w:val="00471C9D"/>
    <w:rsid w:val="00471DE0"/>
    <w:rsid w:val="004734D0"/>
    <w:rsid w:val="00473D09"/>
    <w:rsid w:val="0047556B"/>
    <w:rsid w:val="00477768"/>
    <w:rsid w:val="00486C4F"/>
    <w:rsid w:val="00492BC5"/>
    <w:rsid w:val="004963E7"/>
    <w:rsid w:val="004964F1"/>
    <w:rsid w:val="00496ABB"/>
    <w:rsid w:val="004A16BC"/>
    <w:rsid w:val="004A2B94"/>
    <w:rsid w:val="004B6F6A"/>
    <w:rsid w:val="004B7C0C"/>
    <w:rsid w:val="004C3480"/>
    <w:rsid w:val="004C3898"/>
    <w:rsid w:val="004D36B1"/>
    <w:rsid w:val="004D7EBD"/>
    <w:rsid w:val="004E0837"/>
    <w:rsid w:val="004E2680"/>
    <w:rsid w:val="004E28F9"/>
    <w:rsid w:val="004E462E"/>
    <w:rsid w:val="004E56DC"/>
    <w:rsid w:val="004E76F4"/>
    <w:rsid w:val="004F0B4E"/>
    <w:rsid w:val="004F0B6C"/>
    <w:rsid w:val="004F2078"/>
    <w:rsid w:val="004F3550"/>
    <w:rsid w:val="004F4DA3"/>
    <w:rsid w:val="00503769"/>
    <w:rsid w:val="00506557"/>
    <w:rsid w:val="0050677A"/>
    <w:rsid w:val="005108D8"/>
    <w:rsid w:val="005116F9"/>
    <w:rsid w:val="005153A7"/>
    <w:rsid w:val="00517D69"/>
    <w:rsid w:val="005219CF"/>
    <w:rsid w:val="00534B59"/>
    <w:rsid w:val="00536759"/>
    <w:rsid w:val="00537C62"/>
    <w:rsid w:val="00543A71"/>
    <w:rsid w:val="00546970"/>
    <w:rsid w:val="00554E19"/>
    <w:rsid w:val="0056121F"/>
    <w:rsid w:val="00572505"/>
    <w:rsid w:val="00582809"/>
    <w:rsid w:val="0058798C"/>
    <w:rsid w:val="005900FA"/>
    <w:rsid w:val="005920D3"/>
    <w:rsid w:val="005935A4"/>
    <w:rsid w:val="005948C2"/>
    <w:rsid w:val="00595DCA"/>
    <w:rsid w:val="0059779B"/>
    <w:rsid w:val="005A209A"/>
    <w:rsid w:val="005A3694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696"/>
    <w:rsid w:val="00611B83"/>
    <w:rsid w:val="00613257"/>
    <w:rsid w:val="00615476"/>
    <w:rsid w:val="00620A71"/>
    <w:rsid w:val="00620D80"/>
    <w:rsid w:val="006234A6"/>
    <w:rsid w:val="00630001"/>
    <w:rsid w:val="006311B3"/>
    <w:rsid w:val="0063186F"/>
    <w:rsid w:val="0063284C"/>
    <w:rsid w:val="00636398"/>
    <w:rsid w:val="006368D3"/>
    <w:rsid w:val="006377EC"/>
    <w:rsid w:val="00640BF5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34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33E"/>
    <w:rsid w:val="00695FC2"/>
    <w:rsid w:val="00696949"/>
    <w:rsid w:val="00697052"/>
    <w:rsid w:val="006A46FB"/>
    <w:rsid w:val="006A595E"/>
    <w:rsid w:val="006A5E28"/>
    <w:rsid w:val="006A697B"/>
    <w:rsid w:val="006A7AFF"/>
    <w:rsid w:val="006B1816"/>
    <w:rsid w:val="006B2099"/>
    <w:rsid w:val="006B50CF"/>
    <w:rsid w:val="006C03B8"/>
    <w:rsid w:val="006C235D"/>
    <w:rsid w:val="006C5EC9"/>
    <w:rsid w:val="006C6059"/>
    <w:rsid w:val="006C7522"/>
    <w:rsid w:val="006D0434"/>
    <w:rsid w:val="006D5920"/>
    <w:rsid w:val="006D6F08"/>
    <w:rsid w:val="006E062C"/>
    <w:rsid w:val="006E1C82"/>
    <w:rsid w:val="006E28B7"/>
    <w:rsid w:val="006E2A9B"/>
    <w:rsid w:val="006E3310"/>
    <w:rsid w:val="006E4CF3"/>
    <w:rsid w:val="006E4E39"/>
    <w:rsid w:val="006E565E"/>
    <w:rsid w:val="006E673D"/>
    <w:rsid w:val="006E7D3B"/>
    <w:rsid w:val="006F1B70"/>
    <w:rsid w:val="006F341D"/>
    <w:rsid w:val="006F3CDE"/>
    <w:rsid w:val="006F3FF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1A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B1D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BA5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0EA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3D0"/>
    <w:rsid w:val="00803FAE"/>
    <w:rsid w:val="0080605F"/>
    <w:rsid w:val="00807786"/>
    <w:rsid w:val="00811FCB"/>
    <w:rsid w:val="008158D6"/>
    <w:rsid w:val="00817196"/>
    <w:rsid w:val="0082142D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C1C"/>
    <w:rsid w:val="008677FD"/>
    <w:rsid w:val="008706D4"/>
    <w:rsid w:val="00870F8A"/>
    <w:rsid w:val="008719A4"/>
    <w:rsid w:val="00871D23"/>
    <w:rsid w:val="0087360B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88A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C62"/>
    <w:rsid w:val="008F1EAB"/>
    <w:rsid w:val="008F33DC"/>
    <w:rsid w:val="008F477F"/>
    <w:rsid w:val="009014A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08"/>
    <w:rsid w:val="00980477"/>
    <w:rsid w:val="0098307F"/>
    <w:rsid w:val="00983F8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5D7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2D2"/>
    <w:rsid w:val="00A41317"/>
    <w:rsid w:val="00A41E2B"/>
    <w:rsid w:val="00A427C0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918"/>
    <w:rsid w:val="00AB7D11"/>
    <w:rsid w:val="00AC007F"/>
    <w:rsid w:val="00AC2ECD"/>
    <w:rsid w:val="00AC3119"/>
    <w:rsid w:val="00AC46C3"/>
    <w:rsid w:val="00AC49FB"/>
    <w:rsid w:val="00AC5A10"/>
    <w:rsid w:val="00AD0AA3"/>
    <w:rsid w:val="00AD3F94"/>
    <w:rsid w:val="00AD4A5A"/>
    <w:rsid w:val="00AD598D"/>
    <w:rsid w:val="00AD60F8"/>
    <w:rsid w:val="00AE27AC"/>
    <w:rsid w:val="00AE29E0"/>
    <w:rsid w:val="00AE40E0"/>
    <w:rsid w:val="00AE4DBA"/>
    <w:rsid w:val="00AE4F07"/>
    <w:rsid w:val="00AF1C5D"/>
    <w:rsid w:val="00AF2C74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3A1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263D"/>
    <w:rsid w:val="00B62A28"/>
    <w:rsid w:val="00B664C7"/>
    <w:rsid w:val="00B739F6"/>
    <w:rsid w:val="00B81A6C"/>
    <w:rsid w:val="00B85DE5"/>
    <w:rsid w:val="00B90F73"/>
    <w:rsid w:val="00B92CF4"/>
    <w:rsid w:val="00B93B59"/>
    <w:rsid w:val="00B9406A"/>
    <w:rsid w:val="00BA2280"/>
    <w:rsid w:val="00BA2A08"/>
    <w:rsid w:val="00BA56D2"/>
    <w:rsid w:val="00BA76E0"/>
    <w:rsid w:val="00BB2A25"/>
    <w:rsid w:val="00BB51E9"/>
    <w:rsid w:val="00BC0A28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CC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ACC"/>
    <w:rsid w:val="00C268E6"/>
    <w:rsid w:val="00C279B5"/>
    <w:rsid w:val="00C27C45"/>
    <w:rsid w:val="00C3719D"/>
    <w:rsid w:val="00C37CB2"/>
    <w:rsid w:val="00C4687D"/>
    <w:rsid w:val="00C473A5"/>
    <w:rsid w:val="00C50F9C"/>
    <w:rsid w:val="00C54995"/>
    <w:rsid w:val="00C54D41"/>
    <w:rsid w:val="00C60783"/>
    <w:rsid w:val="00C64672"/>
    <w:rsid w:val="00C70697"/>
    <w:rsid w:val="00C72093"/>
    <w:rsid w:val="00C72EF4"/>
    <w:rsid w:val="00C740B0"/>
    <w:rsid w:val="00C744FE"/>
    <w:rsid w:val="00C75D2F"/>
    <w:rsid w:val="00C767BE"/>
    <w:rsid w:val="00C76E3C"/>
    <w:rsid w:val="00C81568"/>
    <w:rsid w:val="00C86CF3"/>
    <w:rsid w:val="00C9027A"/>
    <w:rsid w:val="00C9068E"/>
    <w:rsid w:val="00C93814"/>
    <w:rsid w:val="00C93C4B"/>
    <w:rsid w:val="00C944AB"/>
    <w:rsid w:val="00C95B40"/>
    <w:rsid w:val="00CA1ED8"/>
    <w:rsid w:val="00CA5D4C"/>
    <w:rsid w:val="00CB0604"/>
    <w:rsid w:val="00CB1F63"/>
    <w:rsid w:val="00CB7170"/>
    <w:rsid w:val="00CC040E"/>
    <w:rsid w:val="00CC111F"/>
    <w:rsid w:val="00CC2011"/>
    <w:rsid w:val="00CC3EA0"/>
    <w:rsid w:val="00CC7B45"/>
    <w:rsid w:val="00CD1188"/>
    <w:rsid w:val="00CD1481"/>
    <w:rsid w:val="00CD2ED1"/>
    <w:rsid w:val="00CD337B"/>
    <w:rsid w:val="00CE0424"/>
    <w:rsid w:val="00CE7561"/>
    <w:rsid w:val="00CF1354"/>
    <w:rsid w:val="00CF3B1F"/>
    <w:rsid w:val="00CF3BF6"/>
    <w:rsid w:val="00CF5FE1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0E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33B"/>
    <w:rsid w:val="00DD3C69"/>
    <w:rsid w:val="00DE5608"/>
    <w:rsid w:val="00DE58D0"/>
    <w:rsid w:val="00DE654F"/>
    <w:rsid w:val="00DF0B6E"/>
    <w:rsid w:val="00DF15E0"/>
    <w:rsid w:val="00DF37A0"/>
    <w:rsid w:val="00E00E1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5F4"/>
    <w:rsid w:val="00E34188"/>
    <w:rsid w:val="00E34B6E"/>
    <w:rsid w:val="00E35559"/>
    <w:rsid w:val="00E36711"/>
    <w:rsid w:val="00E3723A"/>
    <w:rsid w:val="00E374A0"/>
    <w:rsid w:val="00E37860"/>
    <w:rsid w:val="00E446F1"/>
    <w:rsid w:val="00E46886"/>
    <w:rsid w:val="00E47AEF"/>
    <w:rsid w:val="00E53B75"/>
    <w:rsid w:val="00E54E3B"/>
    <w:rsid w:val="00E57565"/>
    <w:rsid w:val="00E57A59"/>
    <w:rsid w:val="00E63838"/>
    <w:rsid w:val="00E64434"/>
    <w:rsid w:val="00E67C51"/>
    <w:rsid w:val="00E72EFC"/>
    <w:rsid w:val="00E758EC"/>
    <w:rsid w:val="00E76248"/>
    <w:rsid w:val="00E76C36"/>
    <w:rsid w:val="00E8234C"/>
    <w:rsid w:val="00E83AA9"/>
    <w:rsid w:val="00E84AE6"/>
    <w:rsid w:val="00E85928"/>
    <w:rsid w:val="00E86C89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6A1F"/>
    <w:rsid w:val="00EF7280"/>
    <w:rsid w:val="00F0133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5B5B"/>
    <w:rsid w:val="00F30828"/>
    <w:rsid w:val="00F313D6"/>
    <w:rsid w:val="00F40F0C"/>
    <w:rsid w:val="00F4766C"/>
    <w:rsid w:val="00F5060E"/>
    <w:rsid w:val="00F507D1"/>
    <w:rsid w:val="00F5107B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C71"/>
    <w:rsid w:val="00FC7429"/>
    <w:rsid w:val="00FD07F6"/>
    <w:rsid w:val="00FD1040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40BFB19"/>
  <w15:chartTrackingRefBased/>
  <w15:docId w15:val="{775AD5E4-7617-4C93-9FC6-691A65A8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D598D"/>
    <w:rPr>
      <w:rFonts w:ascii="Times New Roman" w:hAnsi="Times New Roman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FD1040"/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YUFBLA\OneDrive%20-%20Ericsson%20AB\Documents_Yufei\3GPP_meetings\RAN_meetings\RAN_xx_2021June\RP-21xxxxx%20URLLC_C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B4A58-DB29-4F2B-B3DD-F4A9648A6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RP-21xxxxx URLLC_CSI</Template>
  <TotalTime>0</TotalTime>
  <Pages>5</Pages>
  <Words>1811</Words>
  <Characters>10232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Sorour Falahati</cp:lastModifiedBy>
  <cp:revision>2</cp:revision>
  <cp:lastPrinted>2008-01-31T16:09:00Z</cp:lastPrinted>
  <dcterms:created xsi:type="dcterms:W3CDTF">2021-09-06T21:18:00Z</dcterms:created>
  <dcterms:modified xsi:type="dcterms:W3CDTF">2021-09-06T21:18:00Z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